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90" w:rsidRPr="00D51BDE" w:rsidRDefault="00E47049" w:rsidP="003E1D6E">
      <w:pPr>
        <w:spacing w:line="360" w:lineRule="auto"/>
        <w:jc w:val="center"/>
        <w:rPr>
          <w:rFonts w:ascii="Times New Roman" w:hAnsi="Times New Roman" w:cs="Times New Roman"/>
          <w:b/>
          <w:sz w:val="24"/>
          <w:szCs w:val="24"/>
        </w:rPr>
      </w:pPr>
      <w:r w:rsidRPr="00D51BDE">
        <w:rPr>
          <w:rFonts w:ascii="Times New Roman" w:hAnsi="Times New Roman" w:cs="Times New Roman"/>
          <w:b/>
          <w:sz w:val="24"/>
          <w:szCs w:val="24"/>
        </w:rPr>
        <w:t>O ESTUPRO POR UM BEIJO: PROPORCIONALIDADE E VULNERABILIDADE NO DIREITO PENAL</w:t>
      </w:r>
      <w:r w:rsidR="005B7C7E" w:rsidRPr="00D51BDE">
        <w:rPr>
          <w:rFonts w:ascii="Times New Roman" w:hAnsi="Times New Roman" w:cs="Times New Roman"/>
          <w:b/>
          <w:sz w:val="24"/>
          <w:szCs w:val="24"/>
        </w:rPr>
        <w:t xml:space="preserve"> E UMA VIOLAÇÃO À DIGNIDADE DA PESSOA HUMANA.</w:t>
      </w:r>
    </w:p>
    <w:p w:rsidR="003E1D6E" w:rsidRDefault="003E1D6E" w:rsidP="00FB68DA">
      <w:pPr>
        <w:spacing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Luciano </w:t>
      </w:r>
      <w:proofErr w:type="spellStart"/>
      <w:r>
        <w:rPr>
          <w:rFonts w:ascii="Times New Roman" w:hAnsi="Times New Roman" w:cs="Times New Roman"/>
          <w:i/>
          <w:sz w:val="24"/>
          <w:szCs w:val="24"/>
        </w:rPr>
        <w:t>Filizola</w:t>
      </w:r>
      <w:proofErr w:type="spellEnd"/>
      <w:r>
        <w:rPr>
          <w:rFonts w:ascii="Times New Roman" w:hAnsi="Times New Roman" w:cs="Times New Roman"/>
          <w:i/>
          <w:sz w:val="24"/>
          <w:szCs w:val="24"/>
        </w:rPr>
        <w:t xml:space="preserve"> da Silva</w:t>
      </w:r>
      <w:r>
        <w:rPr>
          <w:rStyle w:val="Refdenotaderodap"/>
          <w:rFonts w:ascii="Times New Roman" w:hAnsi="Times New Roman" w:cs="Times New Roman"/>
          <w:i/>
          <w:sz w:val="24"/>
          <w:szCs w:val="24"/>
        </w:rPr>
        <w:footnoteReference w:id="1"/>
      </w:r>
    </w:p>
    <w:p w:rsidR="00D708DA" w:rsidRDefault="00D708DA" w:rsidP="00D708DA">
      <w:pPr>
        <w:spacing w:line="360" w:lineRule="auto"/>
        <w:jc w:val="both"/>
        <w:rPr>
          <w:rFonts w:ascii="Times New Roman" w:hAnsi="Times New Roman" w:cs="Times New Roman"/>
          <w:sz w:val="24"/>
          <w:szCs w:val="24"/>
        </w:rPr>
      </w:pPr>
    </w:p>
    <w:p w:rsidR="00D708DA" w:rsidRDefault="00E47049"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Palavras-chave: estupro; princípio da proporcionalidade; presunção de vulnerabilidade</w:t>
      </w:r>
      <w:r w:rsidR="005B7C7E">
        <w:rPr>
          <w:rFonts w:ascii="Times New Roman" w:hAnsi="Times New Roman" w:cs="Times New Roman"/>
          <w:sz w:val="24"/>
          <w:szCs w:val="24"/>
        </w:rPr>
        <w:t xml:space="preserve">; </w:t>
      </w:r>
      <w:proofErr w:type="spellStart"/>
      <w:r w:rsidR="005B7C7E">
        <w:rPr>
          <w:rFonts w:ascii="Times New Roman" w:hAnsi="Times New Roman" w:cs="Times New Roman"/>
          <w:sz w:val="24"/>
          <w:szCs w:val="24"/>
        </w:rPr>
        <w:t>Diginidade</w:t>
      </w:r>
      <w:proofErr w:type="spellEnd"/>
      <w:r w:rsidR="005B7C7E">
        <w:rPr>
          <w:rFonts w:ascii="Times New Roman" w:hAnsi="Times New Roman" w:cs="Times New Roman"/>
          <w:sz w:val="24"/>
          <w:szCs w:val="24"/>
        </w:rPr>
        <w:t xml:space="preserve"> da Pessoa </w:t>
      </w:r>
      <w:proofErr w:type="gramStart"/>
      <w:r w:rsidR="005B7C7E">
        <w:rPr>
          <w:rFonts w:ascii="Times New Roman" w:hAnsi="Times New Roman" w:cs="Times New Roman"/>
          <w:sz w:val="24"/>
          <w:szCs w:val="24"/>
        </w:rPr>
        <w:t>Humana</w:t>
      </w:r>
      <w:proofErr w:type="gramEnd"/>
    </w:p>
    <w:p w:rsidR="005B7C7E" w:rsidRPr="00D51BDE" w:rsidRDefault="0059308F" w:rsidP="00D708DA">
      <w:pPr>
        <w:spacing w:line="360" w:lineRule="auto"/>
        <w:jc w:val="both"/>
        <w:rPr>
          <w:rFonts w:ascii="Times New Roman" w:hAnsi="Times New Roman" w:cs="Times New Roman"/>
          <w:b/>
          <w:sz w:val="24"/>
          <w:szCs w:val="24"/>
        </w:rPr>
      </w:pPr>
      <w:r w:rsidRPr="00D51BDE">
        <w:rPr>
          <w:rFonts w:ascii="Times New Roman" w:hAnsi="Times New Roman" w:cs="Times New Roman"/>
          <w:b/>
          <w:sz w:val="24"/>
          <w:szCs w:val="24"/>
        </w:rPr>
        <w:tab/>
      </w:r>
      <w:r w:rsidR="00197E33">
        <w:rPr>
          <w:rFonts w:ascii="Times New Roman" w:hAnsi="Times New Roman" w:cs="Times New Roman"/>
          <w:b/>
          <w:sz w:val="24"/>
          <w:szCs w:val="24"/>
        </w:rPr>
        <w:t>INTRODUÇÃO</w:t>
      </w:r>
    </w:p>
    <w:p w:rsidR="0059308F" w:rsidRDefault="0059308F" w:rsidP="005B7C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dia 27 de outubro do presente ano, 2016, publicou-se o acórdão referente ao Recurso Especial 1611910 que teve como relator o Ministro Rogerio </w:t>
      </w:r>
      <w:proofErr w:type="spellStart"/>
      <w:r>
        <w:rPr>
          <w:rFonts w:ascii="Times New Roman" w:hAnsi="Times New Roman" w:cs="Times New Roman"/>
          <w:sz w:val="24"/>
          <w:szCs w:val="24"/>
        </w:rPr>
        <w:t>Schietti</w:t>
      </w:r>
      <w:proofErr w:type="spellEnd"/>
      <w:r>
        <w:rPr>
          <w:rFonts w:ascii="Times New Roman" w:hAnsi="Times New Roman" w:cs="Times New Roman"/>
          <w:sz w:val="24"/>
          <w:szCs w:val="24"/>
        </w:rPr>
        <w:t xml:space="preserve"> Cruz do STJ que reformou a decisão absolutória do Tribunal do Mato Grosso, mantendo a condenação de primeira instância pelo crime de estupro qualificado a prática de um beijo lascivo de um rapaz de 18 anos contra uma jovem de 15 anos.</w:t>
      </w:r>
    </w:p>
    <w:p w:rsidR="004216B0" w:rsidRDefault="0059308F"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ab/>
        <w:t>Tal decisão</w:t>
      </w:r>
      <w:r w:rsidR="005B7C7E">
        <w:rPr>
          <w:rFonts w:ascii="Times New Roman" w:hAnsi="Times New Roman" w:cs="Times New Roman"/>
          <w:sz w:val="24"/>
          <w:szCs w:val="24"/>
        </w:rPr>
        <w:t xml:space="preserve"> endossa uma tendência repressiva dos Tribunais que ignora as conquistas </w:t>
      </w:r>
      <w:proofErr w:type="gramStart"/>
      <w:r w:rsidR="005B7C7E">
        <w:rPr>
          <w:rFonts w:ascii="Times New Roman" w:hAnsi="Times New Roman" w:cs="Times New Roman"/>
          <w:sz w:val="24"/>
          <w:szCs w:val="24"/>
        </w:rPr>
        <w:t>democráticas que visam limitar o poder punitivo Estatal através de princípios Constitucionais</w:t>
      </w:r>
      <w:r w:rsidR="004216B0">
        <w:rPr>
          <w:rFonts w:ascii="Times New Roman" w:hAnsi="Times New Roman" w:cs="Times New Roman"/>
          <w:sz w:val="24"/>
          <w:szCs w:val="24"/>
        </w:rPr>
        <w:t xml:space="preserve">, tais como o da </w:t>
      </w:r>
      <w:r w:rsidR="004216B0" w:rsidRPr="00D51BDE">
        <w:rPr>
          <w:rFonts w:ascii="Times New Roman" w:hAnsi="Times New Roman" w:cs="Times New Roman"/>
          <w:b/>
          <w:sz w:val="24"/>
          <w:szCs w:val="24"/>
        </w:rPr>
        <w:t xml:space="preserve">legalidade material, </w:t>
      </w:r>
      <w:r w:rsidR="00E7642B" w:rsidRPr="00E7642B">
        <w:rPr>
          <w:rFonts w:ascii="Times New Roman" w:hAnsi="Times New Roman" w:cs="Times New Roman"/>
          <w:b/>
          <w:sz w:val="24"/>
          <w:szCs w:val="24"/>
        </w:rPr>
        <w:t xml:space="preserve">proporcionalidade, </w:t>
      </w:r>
      <w:r w:rsidR="004216B0" w:rsidRPr="00D51BDE">
        <w:rPr>
          <w:rFonts w:ascii="Times New Roman" w:hAnsi="Times New Roman" w:cs="Times New Roman"/>
          <w:b/>
          <w:sz w:val="24"/>
          <w:szCs w:val="24"/>
        </w:rPr>
        <w:t>lesividade e subsidiariedade</w:t>
      </w:r>
      <w:r w:rsidR="004216B0">
        <w:rPr>
          <w:rFonts w:ascii="Times New Roman" w:hAnsi="Times New Roman" w:cs="Times New Roman"/>
          <w:sz w:val="24"/>
          <w:szCs w:val="24"/>
        </w:rPr>
        <w:t>,</w:t>
      </w:r>
      <w:r w:rsidR="005B7C7E">
        <w:rPr>
          <w:rFonts w:ascii="Times New Roman" w:hAnsi="Times New Roman" w:cs="Times New Roman"/>
          <w:sz w:val="24"/>
          <w:szCs w:val="24"/>
        </w:rPr>
        <w:t xml:space="preserve"> que impõe a necessidade</w:t>
      </w:r>
      <w:r w:rsidR="004216B0">
        <w:rPr>
          <w:rFonts w:ascii="Times New Roman" w:hAnsi="Times New Roman" w:cs="Times New Roman"/>
          <w:sz w:val="24"/>
          <w:szCs w:val="24"/>
        </w:rPr>
        <w:t xml:space="preserve"> de se definir como crime</w:t>
      </w:r>
      <w:proofErr w:type="gramEnd"/>
      <w:r w:rsidR="004216B0">
        <w:rPr>
          <w:rFonts w:ascii="Times New Roman" w:hAnsi="Times New Roman" w:cs="Times New Roman"/>
          <w:sz w:val="24"/>
          <w:szCs w:val="24"/>
        </w:rPr>
        <w:t xml:space="preserve"> apenas condutas que lesionam ou colocam em perigo um bem jurídico relevante.</w:t>
      </w:r>
    </w:p>
    <w:p w:rsidR="005B7C7E" w:rsidRDefault="005B7C7E" w:rsidP="004216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216B0">
        <w:rPr>
          <w:rFonts w:ascii="Times New Roman" w:hAnsi="Times New Roman" w:cs="Times New Roman"/>
          <w:sz w:val="24"/>
          <w:szCs w:val="24"/>
        </w:rPr>
        <w:t>Nesse diapasão, temos um novo conceito de ato obsceno nos crimes sexuais, ampliando ainda mais a abrangência do estupro de vulnerável, permitindo a imposição de</w:t>
      </w:r>
      <w:r>
        <w:rPr>
          <w:rFonts w:ascii="Times New Roman" w:hAnsi="Times New Roman" w:cs="Times New Roman"/>
          <w:sz w:val="24"/>
          <w:szCs w:val="24"/>
        </w:rPr>
        <w:t xml:space="preserve"> determinada moral </w:t>
      </w:r>
      <w:r w:rsidR="004216B0">
        <w:rPr>
          <w:rFonts w:ascii="Times New Roman" w:hAnsi="Times New Roman" w:cs="Times New Roman"/>
          <w:sz w:val="24"/>
          <w:szCs w:val="24"/>
        </w:rPr>
        <w:t xml:space="preserve">alheia às alterações e avanços do corpo social, quando um beijo consentido em um menor de 14 anos poderá ser definido como crime, violando </w:t>
      </w:r>
      <w:r w:rsidR="00136F7E">
        <w:rPr>
          <w:rFonts w:ascii="Times New Roman" w:hAnsi="Times New Roman" w:cs="Times New Roman"/>
          <w:sz w:val="24"/>
          <w:szCs w:val="24"/>
        </w:rPr>
        <w:t xml:space="preserve">sua liberdade e </w:t>
      </w:r>
      <w:r w:rsidR="004216B0">
        <w:rPr>
          <w:rFonts w:ascii="Times New Roman" w:hAnsi="Times New Roman" w:cs="Times New Roman"/>
          <w:sz w:val="24"/>
          <w:szCs w:val="24"/>
        </w:rPr>
        <w:t xml:space="preserve">a </w:t>
      </w:r>
      <w:r w:rsidR="00D51BDE">
        <w:rPr>
          <w:rFonts w:ascii="Times New Roman" w:hAnsi="Times New Roman" w:cs="Times New Roman"/>
          <w:b/>
          <w:sz w:val="24"/>
          <w:szCs w:val="24"/>
        </w:rPr>
        <w:t xml:space="preserve">Dignidade da Pessoa </w:t>
      </w:r>
      <w:r w:rsidR="00D51BDE" w:rsidRPr="00E7642B">
        <w:rPr>
          <w:rFonts w:ascii="Times New Roman" w:hAnsi="Times New Roman" w:cs="Times New Roman"/>
          <w:b/>
          <w:sz w:val="24"/>
          <w:szCs w:val="24"/>
        </w:rPr>
        <w:t>H</w:t>
      </w:r>
      <w:r w:rsidR="004216B0" w:rsidRPr="00E7642B">
        <w:rPr>
          <w:rFonts w:ascii="Times New Roman" w:hAnsi="Times New Roman" w:cs="Times New Roman"/>
          <w:b/>
          <w:sz w:val="24"/>
          <w:szCs w:val="24"/>
        </w:rPr>
        <w:t>umana</w:t>
      </w:r>
      <w:r w:rsidR="004216B0">
        <w:rPr>
          <w:rFonts w:ascii="Times New Roman" w:hAnsi="Times New Roman" w:cs="Times New Roman"/>
          <w:sz w:val="24"/>
          <w:szCs w:val="24"/>
        </w:rPr>
        <w:t xml:space="preserve"> daquele que é sancionado por uma conduta socialmente aceita</w:t>
      </w:r>
      <w:r w:rsidR="00136F7E">
        <w:rPr>
          <w:rFonts w:ascii="Times New Roman" w:hAnsi="Times New Roman" w:cs="Times New Roman"/>
          <w:sz w:val="24"/>
          <w:szCs w:val="24"/>
        </w:rPr>
        <w:t>, servindo como baluarte de determinado segmento</w:t>
      </w:r>
      <w:r w:rsidR="004216B0">
        <w:rPr>
          <w:rFonts w:ascii="Times New Roman" w:hAnsi="Times New Roman" w:cs="Times New Roman"/>
          <w:sz w:val="24"/>
          <w:szCs w:val="24"/>
        </w:rPr>
        <w:t>.</w:t>
      </w:r>
    </w:p>
    <w:p w:rsidR="004216B0" w:rsidRDefault="004216B0" w:rsidP="004216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tanto, será utilizada como metodologia a pesquisa jurídico-dogmática</w:t>
      </w:r>
      <w:r w:rsidR="00FA13EB">
        <w:rPr>
          <w:rFonts w:ascii="Times New Roman" w:hAnsi="Times New Roman" w:cs="Times New Roman"/>
          <w:sz w:val="24"/>
          <w:szCs w:val="24"/>
        </w:rPr>
        <w:t xml:space="preserve">, a qual, segundo </w:t>
      </w:r>
      <w:proofErr w:type="spellStart"/>
      <w:r w:rsidR="00FA13EB">
        <w:rPr>
          <w:rFonts w:ascii="Times New Roman" w:hAnsi="Times New Roman" w:cs="Times New Roman"/>
          <w:sz w:val="24"/>
          <w:szCs w:val="24"/>
        </w:rPr>
        <w:t>Gustin</w:t>
      </w:r>
      <w:proofErr w:type="spellEnd"/>
      <w:r w:rsidR="00FA13EB">
        <w:rPr>
          <w:rFonts w:ascii="Times New Roman" w:hAnsi="Times New Roman" w:cs="Times New Roman"/>
          <w:sz w:val="24"/>
          <w:szCs w:val="24"/>
        </w:rPr>
        <w:t xml:space="preserve"> e Dias (2013), não esgota seus estudos na letra da norma, mas através de sua compreensão em conformidade com o mundo externo e seus valores.</w:t>
      </w:r>
    </w:p>
    <w:p w:rsidR="00FA13EB" w:rsidRDefault="00FA13EB" w:rsidP="004216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Nesse sentido, é utilizado o raciocínio hipotético-dedutivo</w:t>
      </w:r>
      <w:r w:rsidR="00136F7E">
        <w:rPr>
          <w:rFonts w:ascii="Times New Roman" w:hAnsi="Times New Roman" w:cs="Times New Roman"/>
          <w:sz w:val="24"/>
          <w:szCs w:val="24"/>
        </w:rPr>
        <w:t>, o qual visa questionar certos paradigmas em face de novos problemas, submetendo-o</w:t>
      </w:r>
      <w:r w:rsidR="00E7642B">
        <w:rPr>
          <w:rFonts w:ascii="Times New Roman" w:hAnsi="Times New Roman" w:cs="Times New Roman"/>
          <w:sz w:val="24"/>
          <w:szCs w:val="24"/>
        </w:rPr>
        <w:t>s</w:t>
      </w:r>
      <w:r w:rsidR="00136F7E">
        <w:rPr>
          <w:rFonts w:ascii="Times New Roman" w:hAnsi="Times New Roman" w:cs="Times New Roman"/>
          <w:sz w:val="24"/>
          <w:szCs w:val="24"/>
        </w:rPr>
        <w:t xml:space="preserve"> a novos testes como o propost</w:t>
      </w:r>
      <w:r w:rsidR="00E7642B">
        <w:rPr>
          <w:rFonts w:ascii="Times New Roman" w:hAnsi="Times New Roman" w:cs="Times New Roman"/>
          <w:sz w:val="24"/>
          <w:szCs w:val="24"/>
        </w:rPr>
        <w:t xml:space="preserve">o no presente trabalho através </w:t>
      </w:r>
      <w:r w:rsidR="00136F7E">
        <w:rPr>
          <w:rFonts w:ascii="Times New Roman" w:hAnsi="Times New Roman" w:cs="Times New Roman"/>
          <w:sz w:val="24"/>
          <w:szCs w:val="24"/>
        </w:rPr>
        <w:t>de uma pesquisa empírica em redes sociais</w:t>
      </w:r>
      <w:r w:rsidR="00E7642B">
        <w:rPr>
          <w:rFonts w:ascii="Times New Roman" w:hAnsi="Times New Roman" w:cs="Times New Roman"/>
          <w:sz w:val="24"/>
          <w:szCs w:val="24"/>
        </w:rPr>
        <w:t xml:space="preserve"> sem rigor metodológico</w:t>
      </w:r>
      <w:r w:rsidR="00136F7E">
        <w:rPr>
          <w:rFonts w:ascii="Times New Roman" w:hAnsi="Times New Roman" w:cs="Times New Roman"/>
          <w:sz w:val="24"/>
          <w:szCs w:val="24"/>
        </w:rPr>
        <w:t xml:space="preserve"> a fim de reafirmar </w:t>
      </w:r>
      <w:r w:rsidR="00E7642B">
        <w:rPr>
          <w:rFonts w:ascii="Times New Roman" w:hAnsi="Times New Roman" w:cs="Times New Roman"/>
          <w:sz w:val="24"/>
          <w:szCs w:val="24"/>
        </w:rPr>
        <w:t>a relevância do</w:t>
      </w:r>
      <w:r w:rsidR="00136F7E">
        <w:rPr>
          <w:rFonts w:ascii="Times New Roman" w:hAnsi="Times New Roman" w:cs="Times New Roman"/>
          <w:sz w:val="24"/>
          <w:szCs w:val="24"/>
        </w:rPr>
        <w:t xml:space="preserve"> tema ora em discussão. </w:t>
      </w:r>
    </w:p>
    <w:p w:rsidR="00E736A8" w:rsidRPr="00D51BDE" w:rsidRDefault="0059308F" w:rsidP="00D708DA">
      <w:pPr>
        <w:spacing w:line="360" w:lineRule="auto"/>
        <w:jc w:val="both"/>
        <w:rPr>
          <w:rFonts w:ascii="Times New Roman" w:hAnsi="Times New Roman" w:cs="Times New Roman"/>
          <w:b/>
          <w:sz w:val="24"/>
          <w:szCs w:val="24"/>
        </w:rPr>
      </w:pPr>
      <w:r w:rsidRPr="00D51BDE">
        <w:rPr>
          <w:rFonts w:ascii="Times New Roman" w:hAnsi="Times New Roman" w:cs="Times New Roman"/>
          <w:b/>
          <w:sz w:val="24"/>
          <w:szCs w:val="24"/>
        </w:rPr>
        <w:tab/>
      </w:r>
      <w:r w:rsidR="00E736A8" w:rsidRPr="00D51BDE">
        <w:rPr>
          <w:rFonts w:ascii="Times New Roman" w:hAnsi="Times New Roman" w:cs="Times New Roman"/>
          <w:b/>
          <w:sz w:val="24"/>
          <w:szCs w:val="24"/>
        </w:rPr>
        <w:t>BASE TEÓRICA</w:t>
      </w:r>
    </w:p>
    <w:p w:rsidR="00EC4A14" w:rsidRDefault="00E7642B" w:rsidP="00E736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atual redação do crime de estupro previsto no art. 213 dada pela </w:t>
      </w:r>
      <w:r w:rsidR="0059308F">
        <w:rPr>
          <w:rFonts w:ascii="Times New Roman" w:hAnsi="Times New Roman" w:cs="Times New Roman"/>
          <w:sz w:val="24"/>
          <w:szCs w:val="24"/>
        </w:rPr>
        <w:t>lei 12.015</w:t>
      </w:r>
      <w:r>
        <w:rPr>
          <w:rFonts w:ascii="Times New Roman" w:hAnsi="Times New Roman" w:cs="Times New Roman"/>
          <w:sz w:val="24"/>
          <w:szCs w:val="24"/>
        </w:rPr>
        <w:t>/2009 passou</w:t>
      </w:r>
      <w:r w:rsidR="0059308F">
        <w:rPr>
          <w:rFonts w:ascii="Times New Roman" w:hAnsi="Times New Roman" w:cs="Times New Roman"/>
          <w:sz w:val="24"/>
          <w:szCs w:val="24"/>
        </w:rPr>
        <w:t xml:space="preserve"> </w:t>
      </w:r>
      <w:r>
        <w:rPr>
          <w:rFonts w:ascii="Times New Roman" w:hAnsi="Times New Roman" w:cs="Times New Roman"/>
          <w:sz w:val="24"/>
          <w:szCs w:val="24"/>
        </w:rPr>
        <w:t>a definir</w:t>
      </w:r>
      <w:r w:rsidR="0059308F">
        <w:rPr>
          <w:rFonts w:ascii="Times New Roman" w:hAnsi="Times New Roman" w:cs="Times New Roman"/>
          <w:sz w:val="24"/>
          <w:szCs w:val="24"/>
        </w:rPr>
        <w:t xml:space="preserve"> como </w:t>
      </w:r>
      <w:r>
        <w:rPr>
          <w:rFonts w:ascii="Times New Roman" w:hAnsi="Times New Roman" w:cs="Times New Roman"/>
          <w:sz w:val="24"/>
          <w:szCs w:val="24"/>
        </w:rPr>
        <w:t xml:space="preserve">crime </w:t>
      </w:r>
      <w:r w:rsidR="0059308F">
        <w:rPr>
          <w:rFonts w:ascii="Times New Roman" w:hAnsi="Times New Roman" w:cs="Times New Roman"/>
          <w:sz w:val="24"/>
          <w:szCs w:val="24"/>
        </w:rPr>
        <w:t xml:space="preserve">todo constrangimento com violência ou grave ameaça </w:t>
      </w:r>
      <w:r>
        <w:rPr>
          <w:rFonts w:ascii="Times New Roman" w:hAnsi="Times New Roman" w:cs="Times New Roman"/>
          <w:sz w:val="24"/>
          <w:szCs w:val="24"/>
        </w:rPr>
        <w:t>que tenha como fim a prática</w:t>
      </w:r>
      <w:r w:rsidR="0059308F">
        <w:rPr>
          <w:rFonts w:ascii="Times New Roman" w:hAnsi="Times New Roman" w:cs="Times New Roman"/>
          <w:sz w:val="24"/>
          <w:szCs w:val="24"/>
        </w:rPr>
        <w:t xml:space="preserve"> </w:t>
      </w:r>
      <w:r>
        <w:rPr>
          <w:rFonts w:ascii="Times New Roman" w:hAnsi="Times New Roman" w:cs="Times New Roman"/>
          <w:sz w:val="24"/>
          <w:szCs w:val="24"/>
        </w:rPr>
        <w:t xml:space="preserve">de </w:t>
      </w:r>
      <w:r w:rsidR="0059308F">
        <w:rPr>
          <w:rFonts w:ascii="Times New Roman" w:hAnsi="Times New Roman" w:cs="Times New Roman"/>
          <w:sz w:val="24"/>
          <w:szCs w:val="24"/>
        </w:rPr>
        <w:t>conjunção carnal ou qualquer outro ato libidinoso</w:t>
      </w:r>
      <w:r w:rsidR="00EC4A14">
        <w:rPr>
          <w:rFonts w:ascii="Times New Roman" w:hAnsi="Times New Roman" w:cs="Times New Roman"/>
          <w:sz w:val="24"/>
          <w:szCs w:val="24"/>
        </w:rPr>
        <w:t>.</w:t>
      </w:r>
    </w:p>
    <w:p w:rsidR="0085439E" w:rsidRDefault="00EC4A14"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Porém, um antigo problema se manteve, pois as penas </w:t>
      </w:r>
      <w:r w:rsidR="004B3DF7">
        <w:rPr>
          <w:rFonts w:ascii="Times New Roman" w:hAnsi="Times New Roman" w:cs="Times New Roman"/>
          <w:sz w:val="24"/>
          <w:szCs w:val="24"/>
        </w:rPr>
        <w:t xml:space="preserve">de 6 a 10 anos para os tipos simples </w:t>
      </w:r>
      <w:r>
        <w:rPr>
          <w:rFonts w:ascii="Times New Roman" w:hAnsi="Times New Roman" w:cs="Times New Roman"/>
          <w:sz w:val="24"/>
          <w:szCs w:val="24"/>
        </w:rPr>
        <w:t xml:space="preserve">continuaram as mesmas, </w:t>
      </w:r>
      <w:r w:rsidR="004B3DF7">
        <w:rPr>
          <w:rFonts w:ascii="Times New Roman" w:hAnsi="Times New Roman" w:cs="Times New Roman"/>
          <w:sz w:val="24"/>
          <w:szCs w:val="24"/>
        </w:rPr>
        <w:t>em um delito cuja</w:t>
      </w:r>
      <w:r>
        <w:rPr>
          <w:rFonts w:ascii="Times New Roman" w:hAnsi="Times New Roman" w:cs="Times New Roman"/>
          <w:sz w:val="24"/>
          <w:szCs w:val="24"/>
        </w:rPr>
        <w:t xml:space="preserve"> redação</w:t>
      </w:r>
      <w:r w:rsidR="004B3DF7">
        <w:rPr>
          <w:rFonts w:ascii="Times New Roman" w:hAnsi="Times New Roman" w:cs="Times New Roman"/>
          <w:sz w:val="24"/>
          <w:szCs w:val="24"/>
        </w:rPr>
        <w:t xml:space="preserve"> é</w:t>
      </w:r>
      <w:r>
        <w:rPr>
          <w:rFonts w:ascii="Times New Roman" w:hAnsi="Times New Roman" w:cs="Times New Roman"/>
          <w:sz w:val="24"/>
          <w:szCs w:val="24"/>
        </w:rPr>
        <w:t xml:space="preserve"> muito ampla</w:t>
      </w:r>
      <w:r w:rsidR="004B3DF7">
        <w:rPr>
          <w:rFonts w:ascii="Times New Roman" w:hAnsi="Times New Roman" w:cs="Times New Roman"/>
          <w:sz w:val="24"/>
          <w:szCs w:val="24"/>
        </w:rPr>
        <w:t>, o que abarca</w:t>
      </w:r>
      <w:r>
        <w:rPr>
          <w:rFonts w:ascii="Times New Roman" w:hAnsi="Times New Roman" w:cs="Times New Roman"/>
          <w:sz w:val="24"/>
          <w:szCs w:val="24"/>
        </w:rPr>
        <w:t xml:space="preserve"> um número considerável de possibilidades</w:t>
      </w:r>
      <w:r w:rsidR="00E7642B">
        <w:rPr>
          <w:rFonts w:ascii="Times New Roman" w:hAnsi="Times New Roman" w:cs="Times New Roman"/>
          <w:sz w:val="24"/>
          <w:szCs w:val="24"/>
        </w:rPr>
        <w:t>,</w:t>
      </w:r>
      <w:r>
        <w:rPr>
          <w:rFonts w:ascii="Times New Roman" w:hAnsi="Times New Roman" w:cs="Times New Roman"/>
          <w:sz w:val="24"/>
          <w:szCs w:val="24"/>
        </w:rPr>
        <w:t xml:space="preserve"> tendo em vista o elemento normativo ato libidinoso, que embora deva ter conotação sexual pode ir de um coito anal até a </w:t>
      </w:r>
      <w:r w:rsidR="00262B39">
        <w:rPr>
          <w:rFonts w:ascii="Times New Roman" w:hAnsi="Times New Roman" w:cs="Times New Roman"/>
          <w:sz w:val="24"/>
          <w:szCs w:val="24"/>
        </w:rPr>
        <w:t>prática de</w:t>
      </w:r>
      <w:r>
        <w:rPr>
          <w:rFonts w:ascii="Times New Roman" w:hAnsi="Times New Roman" w:cs="Times New Roman"/>
          <w:sz w:val="24"/>
          <w:szCs w:val="24"/>
        </w:rPr>
        <w:t xml:space="preserve"> um beijo.</w:t>
      </w:r>
    </w:p>
    <w:p w:rsidR="0085439E" w:rsidRDefault="0085439E"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Atendendo ao princípio da proporcionalidade, não é possível se cominar uma mesma pena para graus </w:t>
      </w:r>
      <w:r w:rsidR="00262B39">
        <w:rPr>
          <w:rFonts w:ascii="Times New Roman" w:hAnsi="Times New Roman" w:cs="Times New Roman"/>
          <w:sz w:val="24"/>
          <w:szCs w:val="24"/>
        </w:rPr>
        <w:t>tão</w:t>
      </w:r>
      <w:r>
        <w:rPr>
          <w:rFonts w:ascii="Times New Roman" w:hAnsi="Times New Roman" w:cs="Times New Roman"/>
          <w:sz w:val="24"/>
          <w:szCs w:val="24"/>
        </w:rPr>
        <w:t xml:space="preserve"> distintos de violação de um mesmo bem jurídico, pois, como leciona Juarez Cirino dos Santos esse princípio limita </w:t>
      </w:r>
      <w:r>
        <w:rPr>
          <w:rFonts w:ascii="Times New Roman" w:hAnsi="Times New Roman" w:cs="Times New Roman"/>
          <w:i/>
          <w:sz w:val="24"/>
          <w:szCs w:val="24"/>
        </w:rPr>
        <w:t>a criminalização primária</w:t>
      </w:r>
      <w:r>
        <w:rPr>
          <w:rFonts w:ascii="Times New Roman" w:hAnsi="Times New Roman" w:cs="Times New Roman"/>
          <w:sz w:val="24"/>
          <w:szCs w:val="24"/>
        </w:rPr>
        <w:t xml:space="preserve"> às hipóteses de graves violações de direitos humanos – ou seja, lesões </w:t>
      </w:r>
      <w:r>
        <w:rPr>
          <w:rFonts w:ascii="Times New Roman" w:hAnsi="Times New Roman" w:cs="Times New Roman"/>
          <w:i/>
          <w:sz w:val="24"/>
          <w:szCs w:val="24"/>
        </w:rPr>
        <w:t>insignificantes</w:t>
      </w:r>
      <w:r>
        <w:rPr>
          <w:rFonts w:ascii="Times New Roman" w:hAnsi="Times New Roman" w:cs="Times New Roman"/>
          <w:sz w:val="24"/>
          <w:szCs w:val="24"/>
        </w:rPr>
        <w:t xml:space="preserve"> de bens jurídicos são excluídas, também, pelo </w:t>
      </w:r>
      <w:r w:rsidRPr="0085439E">
        <w:rPr>
          <w:rFonts w:ascii="Times New Roman" w:hAnsi="Times New Roman" w:cs="Times New Roman"/>
          <w:i/>
          <w:sz w:val="24"/>
          <w:szCs w:val="24"/>
        </w:rPr>
        <w:t>princípio da proporcionalidade</w:t>
      </w:r>
      <w:r>
        <w:rPr>
          <w:rFonts w:ascii="Times New Roman" w:hAnsi="Times New Roman" w:cs="Times New Roman"/>
          <w:sz w:val="24"/>
          <w:szCs w:val="24"/>
        </w:rPr>
        <w:t xml:space="preserve"> – e delimita a cominação de penas criminais conforme a natureza e extensão do dano social produzido pelo crime. (</w:t>
      </w:r>
      <w:r w:rsidR="00D94044">
        <w:rPr>
          <w:rFonts w:ascii="Times New Roman" w:hAnsi="Times New Roman" w:cs="Times New Roman"/>
          <w:sz w:val="24"/>
          <w:szCs w:val="24"/>
        </w:rPr>
        <w:t>2007, p</w:t>
      </w:r>
      <w:r>
        <w:rPr>
          <w:rFonts w:ascii="Times New Roman" w:hAnsi="Times New Roman" w:cs="Times New Roman"/>
          <w:sz w:val="24"/>
          <w:szCs w:val="24"/>
        </w:rPr>
        <w:t>. 28)</w:t>
      </w:r>
    </w:p>
    <w:p w:rsidR="00D94044" w:rsidRDefault="0085439E"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ab/>
        <w:t>Alguns autores, como Fernando Capez, mantiveram a posição no sentido de ser ple</w:t>
      </w:r>
      <w:r w:rsidR="0090741C">
        <w:rPr>
          <w:rFonts w:ascii="Times New Roman" w:hAnsi="Times New Roman" w:cs="Times New Roman"/>
          <w:sz w:val="24"/>
          <w:szCs w:val="24"/>
        </w:rPr>
        <w:t>namente cabível o estupro através de um</w:t>
      </w:r>
      <w:r>
        <w:rPr>
          <w:rFonts w:ascii="Times New Roman" w:hAnsi="Times New Roman" w:cs="Times New Roman"/>
          <w:sz w:val="24"/>
          <w:szCs w:val="24"/>
        </w:rPr>
        <w:t xml:space="preserve"> beijo</w:t>
      </w:r>
      <w:r w:rsidR="0090741C">
        <w:rPr>
          <w:rFonts w:ascii="Times New Roman" w:hAnsi="Times New Roman" w:cs="Times New Roman"/>
          <w:sz w:val="24"/>
          <w:szCs w:val="24"/>
        </w:rPr>
        <w:t xml:space="preserve"> forçado (2015, p. 27), mas importante crítica </w:t>
      </w:r>
      <w:r w:rsidR="00262B39">
        <w:rPr>
          <w:rFonts w:ascii="Times New Roman" w:hAnsi="Times New Roman" w:cs="Times New Roman"/>
          <w:sz w:val="24"/>
          <w:szCs w:val="24"/>
        </w:rPr>
        <w:t>a essa possibilidade se fe</w:t>
      </w:r>
      <w:r w:rsidR="0090741C">
        <w:rPr>
          <w:rFonts w:ascii="Times New Roman" w:hAnsi="Times New Roman" w:cs="Times New Roman"/>
          <w:sz w:val="24"/>
          <w:szCs w:val="24"/>
        </w:rPr>
        <w:t xml:space="preserve">z por vários autores </w:t>
      </w:r>
      <w:r w:rsidR="00D94044">
        <w:rPr>
          <w:rFonts w:ascii="Times New Roman" w:hAnsi="Times New Roman" w:cs="Times New Roman"/>
          <w:sz w:val="24"/>
          <w:szCs w:val="24"/>
        </w:rPr>
        <w:t xml:space="preserve">como Bitencourt (2015, p. 56) e </w:t>
      </w:r>
      <w:proofErr w:type="spellStart"/>
      <w:r w:rsidR="00D94044">
        <w:rPr>
          <w:rFonts w:ascii="Times New Roman" w:hAnsi="Times New Roman" w:cs="Times New Roman"/>
          <w:sz w:val="24"/>
          <w:szCs w:val="24"/>
        </w:rPr>
        <w:t>Nucci</w:t>
      </w:r>
      <w:proofErr w:type="spellEnd"/>
      <w:r w:rsidR="00D94044">
        <w:rPr>
          <w:rFonts w:ascii="Times New Roman" w:hAnsi="Times New Roman" w:cs="Times New Roman"/>
          <w:sz w:val="24"/>
          <w:szCs w:val="24"/>
        </w:rPr>
        <w:t xml:space="preserve"> (2015, p. 850) </w:t>
      </w:r>
      <w:r w:rsidR="0090741C">
        <w:rPr>
          <w:rFonts w:ascii="Times New Roman" w:hAnsi="Times New Roman" w:cs="Times New Roman"/>
          <w:sz w:val="24"/>
          <w:szCs w:val="24"/>
        </w:rPr>
        <w:t>que identificam a inadequação típica diante da gravidade do crime do art. 213, sendo mais razoável a tipificação à contravenção penal de importunação ofensiva ao pudor prevista no art. 61 do decreto lei 3.688/41, cuja sanção é uma multa</w:t>
      </w:r>
      <w:r w:rsidR="00197E33">
        <w:rPr>
          <w:rFonts w:ascii="Times New Roman" w:hAnsi="Times New Roman" w:cs="Times New Roman"/>
          <w:sz w:val="24"/>
          <w:szCs w:val="24"/>
        </w:rPr>
        <w:t xml:space="preserve">, o qual </w:t>
      </w:r>
      <w:proofErr w:type="gramStart"/>
      <w:r w:rsidR="00197E33">
        <w:rPr>
          <w:rFonts w:ascii="Times New Roman" w:hAnsi="Times New Roman" w:cs="Times New Roman"/>
          <w:sz w:val="24"/>
          <w:szCs w:val="24"/>
        </w:rPr>
        <w:t>encontra-se</w:t>
      </w:r>
      <w:proofErr w:type="gramEnd"/>
      <w:r w:rsidR="00197E33">
        <w:rPr>
          <w:rFonts w:ascii="Times New Roman" w:hAnsi="Times New Roman" w:cs="Times New Roman"/>
          <w:sz w:val="24"/>
          <w:szCs w:val="24"/>
        </w:rPr>
        <w:t xml:space="preserve"> revogado pela lei 13.718/2018 que criou a figura da importunação sexual que passa a ser tipificada pelo art. 215-A do CP, cuja pena é de um a cinco anos de reclusão</w:t>
      </w:r>
      <w:bookmarkStart w:id="0" w:name="_GoBack"/>
      <w:bookmarkEnd w:id="0"/>
      <w:r w:rsidR="00197E33">
        <w:rPr>
          <w:rFonts w:ascii="Times New Roman" w:hAnsi="Times New Roman" w:cs="Times New Roman"/>
          <w:sz w:val="24"/>
          <w:szCs w:val="24"/>
        </w:rPr>
        <w:t>.</w:t>
      </w:r>
    </w:p>
    <w:p w:rsidR="006C0940" w:rsidRDefault="00AB47DC"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Sendo um dos critérios para se analisar o princípio da proporcionalidade </w:t>
      </w:r>
      <w:r w:rsidR="004B3DF7">
        <w:rPr>
          <w:rFonts w:ascii="Times New Roman" w:hAnsi="Times New Roman" w:cs="Times New Roman"/>
          <w:sz w:val="24"/>
          <w:szCs w:val="24"/>
        </w:rPr>
        <w:t xml:space="preserve">o uso </w:t>
      </w:r>
      <w:r>
        <w:rPr>
          <w:rFonts w:ascii="Times New Roman" w:hAnsi="Times New Roman" w:cs="Times New Roman"/>
          <w:sz w:val="24"/>
          <w:szCs w:val="24"/>
        </w:rPr>
        <w:t>da comparação entre os tipos</w:t>
      </w:r>
      <w:r w:rsidR="004B3DF7">
        <w:rPr>
          <w:rFonts w:ascii="Times New Roman" w:hAnsi="Times New Roman" w:cs="Times New Roman"/>
          <w:sz w:val="24"/>
          <w:szCs w:val="24"/>
        </w:rPr>
        <w:t xml:space="preserve"> dentro de um ordenamento jurídico que se pretende harmonioso</w:t>
      </w:r>
      <w:r>
        <w:rPr>
          <w:rFonts w:ascii="Times New Roman" w:hAnsi="Times New Roman" w:cs="Times New Roman"/>
          <w:sz w:val="24"/>
          <w:szCs w:val="24"/>
        </w:rPr>
        <w:t xml:space="preserve">, cujas penas devem ser proporcionais </w:t>
      </w:r>
      <w:r w:rsidR="00262B39">
        <w:rPr>
          <w:rFonts w:ascii="Times New Roman" w:hAnsi="Times New Roman" w:cs="Times New Roman"/>
          <w:sz w:val="24"/>
          <w:szCs w:val="24"/>
        </w:rPr>
        <w:t>à</w:t>
      </w:r>
      <w:r>
        <w:rPr>
          <w:rFonts w:ascii="Times New Roman" w:hAnsi="Times New Roman" w:cs="Times New Roman"/>
          <w:sz w:val="24"/>
          <w:szCs w:val="24"/>
        </w:rPr>
        <w:t xml:space="preserve"> gravidade das lesões e </w:t>
      </w:r>
      <w:r w:rsidR="00262B39">
        <w:rPr>
          <w:rFonts w:ascii="Times New Roman" w:hAnsi="Times New Roman" w:cs="Times New Roman"/>
          <w:sz w:val="24"/>
          <w:szCs w:val="24"/>
        </w:rPr>
        <w:t xml:space="preserve">à </w:t>
      </w:r>
      <w:r>
        <w:rPr>
          <w:rFonts w:ascii="Times New Roman" w:hAnsi="Times New Roman" w:cs="Times New Roman"/>
          <w:sz w:val="24"/>
          <w:szCs w:val="24"/>
        </w:rPr>
        <w:t>relevância dos bens jurídicos, não é difícil constatar tal violação e inconstitucionalidade da decisão em análise, pois, apenas para exemplifica</w:t>
      </w:r>
      <w:r w:rsidR="004B3DF7">
        <w:rPr>
          <w:rFonts w:ascii="Times New Roman" w:hAnsi="Times New Roman" w:cs="Times New Roman"/>
          <w:sz w:val="24"/>
          <w:szCs w:val="24"/>
        </w:rPr>
        <w:t>r, considerando que a vítima seja</w:t>
      </w:r>
      <w:r>
        <w:rPr>
          <w:rFonts w:ascii="Times New Roman" w:hAnsi="Times New Roman" w:cs="Times New Roman"/>
          <w:sz w:val="24"/>
          <w:szCs w:val="24"/>
        </w:rPr>
        <w:t xml:space="preserve"> menor de 18 anos, a pena será </w:t>
      </w:r>
      <w:r w:rsidR="0028471A">
        <w:rPr>
          <w:rFonts w:ascii="Times New Roman" w:hAnsi="Times New Roman" w:cs="Times New Roman"/>
          <w:sz w:val="24"/>
          <w:szCs w:val="24"/>
        </w:rPr>
        <w:t xml:space="preserve">de 8 a 12 </w:t>
      </w:r>
      <w:r w:rsidR="0028471A">
        <w:rPr>
          <w:rFonts w:ascii="Times New Roman" w:hAnsi="Times New Roman" w:cs="Times New Roman"/>
          <w:sz w:val="24"/>
          <w:szCs w:val="24"/>
        </w:rPr>
        <w:lastRenderedPageBreak/>
        <w:t xml:space="preserve">anos conforme </w:t>
      </w:r>
      <w:r>
        <w:rPr>
          <w:rFonts w:ascii="Times New Roman" w:hAnsi="Times New Roman" w:cs="Times New Roman"/>
          <w:sz w:val="24"/>
          <w:szCs w:val="24"/>
        </w:rPr>
        <w:t>o parágrafo primeiro do art. 213, ou seja</w:t>
      </w:r>
      <w:r w:rsidR="004B3DF7">
        <w:rPr>
          <w:rFonts w:ascii="Times New Roman" w:hAnsi="Times New Roman" w:cs="Times New Roman"/>
          <w:sz w:val="24"/>
          <w:szCs w:val="24"/>
        </w:rPr>
        <w:t>,</w:t>
      </w:r>
      <w:r>
        <w:rPr>
          <w:rFonts w:ascii="Times New Roman" w:hAnsi="Times New Roman" w:cs="Times New Roman"/>
          <w:sz w:val="24"/>
          <w:szCs w:val="24"/>
        </w:rPr>
        <w:t xml:space="preserve"> com uma pena mínima maior que a do homicídio simples, que é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anos. De qualquer forma, sua pena em abstrato é maior que a da lesão corporal gravíssima prevista no art. 129, parágrafo 2º, </w:t>
      </w:r>
      <w:r w:rsidR="0028471A">
        <w:rPr>
          <w:rFonts w:ascii="Times New Roman" w:hAnsi="Times New Roman" w:cs="Times New Roman"/>
          <w:sz w:val="24"/>
          <w:szCs w:val="24"/>
        </w:rPr>
        <w:t>que</w:t>
      </w:r>
      <w:r>
        <w:rPr>
          <w:rFonts w:ascii="Times New Roman" w:hAnsi="Times New Roman" w:cs="Times New Roman"/>
          <w:sz w:val="24"/>
          <w:szCs w:val="24"/>
        </w:rPr>
        <w:t xml:space="preserve"> é de 2 a 8 anos se da lesão gera aborto, perda de membro ou deformidade permanente</w:t>
      </w:r>
      <w:r w:rsidR="0028471A">
        <w:rPr>
          <w:rFonts w:ascii="Times New Roman" w:hAnsi="Times New Roman" w:cs="Times New Roman"/>
          <w:sz w:val="24"/>
          <w:szCs w:val="24"/>
        </w:rPr>
        <w:t>.</w:t>
      </w:r>
      <w:r>
        <w:rPr>
          <w:rFonts w:ascii="Times New Roman" w:hAnsi="Times New Roman" w:cs="Times New Roman"/>
          <w:sz w:val="24"/>
          <w:szCs w:val="24"/>
        </w:rPr>
        <w:t xml:space="preserve"> Também é maior que a do roubo que tem uma pena de 4 a 10 anos, sendo o </w:t>
      </w:r>
      <w:r>
        <w:rPr>
          <w:rFonts w:ascii="Times New Roman" w:hAnsi="Times New Roman" w:cs="Times New Roman"/>
          <w:i/>
          <w:sz w:val="24"/>
          <w:szCs w:val="24"/>
        </w:rPr>
        <w:t xml:space="preserve">roubo </w:t>
      </w:r>
      <w:r>
        <w:rPr>
          <w:rFonts w:ascii="Times New Roman" w:hAnsi="Times New Roman" w:cs="Times New Roman"/>
          <w:sz w:val="24"/>
          <w:szCs w:val="24"/>
        </w:rPr>
        <w:t>de um beijo mais grave que o roubo do carro de alguém e, ainda mais, sua pena é maior que a do crime de tortura (?!) previsto na lei 9.455/97 que prevê nos casos de seu art. 1º uma pena de 2 a 8 anos</w:t>
      </w:r>
      <w:r w:rsidR="006C0940">
        <w:rPr>
          <w:rFonts w:ascii="Times New Roman" w:hAnsi="Times New Roman" w:cs="Times New Roman"/>
          <w:sz w:val="24"/>
          <w:szCs w:val="24"/>
        </w:rPr>
        <w:t>. Ou seja, beijar uma pessoa tornou-se mais grave que tortura-la.</w:t>
      </w:r>
    </w:p>
    <w:p w:rsidR="008C4CC1" w:rsidRDefault="00A77189"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ab/>
        <w:t>Outra consequência da</w:t>
      </w:r>
      <w:r w:rsidR="00FE413B">
        <w:rPr>
          <w:rFonts w:ascii="Times New Roman" w:hAnsi="Times New Roman" w:cs="Times New Roman"/>
          <w:sz w:val="24"/>
          <w:szCs w:val="24"/>
        </w:rPr>
        <w:t xml:space="preserve"> referida decisão encontra-se no alcance do de</w:t>
      </w:r>
      <w:r w:rsidR="004B3DF7">
        <w:rPr>
          <w:rFonts w:ascii="Times New Roman" w:hAnsi="Times New Roman" w:cs="Times New Roman"/>
          <w:sz w:val="24"/>
          <w:szCs w:val="24"/>
        </w:rPr>
        <w:t xml:space="preserve">lito de estupro de vulnerável previsto no art. 217-A, segundo o qual </w:t>
      </w:r>
      <w:proofErr w:type="gramStart"/>
      <w:r w:rsidR="008C4CC1">
        <w:rPr>
          <w:rFonts w:ascii="Times New Roman" w:hAnsi="Times New Roman" w:cs="Times New Roman"/>
          <w:sz w:val="24"/>
          <w:szCs w:val="24"/>
        </w:rPr>
        <w:t>pune-se</w:t>
      </w:r>
      <w:proofErr w:type="gramEnd"/>
      <w:r w:rsidR="004B3DF7">
        <w:rPr>
          <w:rFonts w:ascii="Times New Roman" w:hAnsi="Times New Roman" w:cs="Times New Roman"/>
          <w:sz w:val="24"/>
          <w:szCs w:val="24"/>
        </w:rPr>
        <w:t xml:space="preserve"> com um apena de 8 a 15 anos de reclusão</w:t>
      </w:r>
      <w:r w:rsidR="008C4CC1">
        <w:rPr>
          <w:rFonts w:ascii="Times New Roman" w:hAnsi="Times New Roman" w:cs="Times New Roman"/>
          <w:sz w:val="24"/>
          <w:szCs w:val="24"/>
        </w:rPr>
        <w:t xml:space="preserve"> ter conjunção carnal ou praticar outro ato libidinoso com menor de 14 anos.</w:t>
      </w:r>
    </w:p>
    <w:p w:rsidR="00A77189" w:rsidRDefault="008C4CC1"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ab/>
        <w:t>Antes das alterações trazidas pela referida lei o extinto art. 224 referia-se à presunção de violência, configurando o estupro ou o atentado violento ao pudor quando o ato era praticado contra menor de 14 anos, ainda que houvesse seu consentimento. Na época já havia vários debates sobre ser essa presunção absoluta ou relativa, se era admissível ou não prova em contrário em razão da</w:t>
      </w:r>
      <w:r w:rsidR="00A77189">
        <w:rPr>
          <w:rFonts w:ascii="Times New Roman" w:hAnsi="Times New Roman" w:cs="Times New Roman"/>
          <w:sz w:val="24"/>
          <w:szCs w:val="24"/>
        </w:rPr>
        <w:t xml:space="preserve"> análise do caso </w:t>
      </w:r>
      <w:proofErr w:type="gramStart"/>
      <w:r w:rsidR="00A77189">
        <w:rPr>
          <w:rFonts w:ascii="Times New Roman" w:hAnsi="Times New Roman" w:cs="Times New Roman"/>
          <w:sz w:val="24"/>
          <w:szCs w:val="24"/>
        </w:rPr>
        <w:t>concreto .</w:t>
      </w:r>
      <w:proofErr w:type="gramEnd"/>
    </w:p>
    <w:p w:rsidR="0050092B" w:rsidRDefault="008C4CC1"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a nova redação, vários autores e julgados passaram a entender que não há mais que se falar em presunção, mas sim um conceito absoluto de vulnerável que não admitiria qualquer tipo de </w:t>
      </w:r>
      <w:proofErr w:type="gramStart"/>
      <w:r>
        <w:rPr>
          <w:rFonts w:ascii="Times New Roman" w:hAnsi="Times New Roman" w:cs="Times New Roman"/>
          <w:sz w:val="24"/>
          <w:szCs w:val="24"/>
        </w:rPr>
        <w:t>flexibilização</w:t>
      </w:r>
      <w:proofErr w:type="gramEnd"/>
      <w:r>
        <w:rPr>
          <w:rFonts w:ascii="Times New Roman" w:hAnsi="Times New Roman" w:cs="Times New Roman"/>
          <w:sz w:val="24"/>
          <w:szCs w:val="24"/>
        </w:rPr>
        <w:t>.</w:t>
      </w:r>
      <w:r w:rsidR="008E4681">
        <w:rPr>
          <w:rFonts w:ascii="Times New Roman" w:hAnsi="Times New Roman" w:cs="Times New Roman"/>
          <w:sz w:val="24"/>
          <w:szCs w:val="24"/>
        </w:rPr>
        <w:t xml:space="preserve"> O próprio relator da decisão em estudo já se pronunciou sobre o tema no </w:t>
      </w:r>
      <w:proofErr w:type="spellStart"/>
      <w:proofErr w:type="gramStart"/>
      <w:r w:rsidR="008E4681" w:rsidRPr="0050092B">
        <w:rPr>
          <w:rFonts w:ascii="Times New Roman" w:hAnsi="Times New Roman" w:cs="Times New Roman"/>
          <w:b/>
          <w:sz w:val="24"/>
          <w:szCs w:val="24"/>
        </w:rPr>
        <w:t>REsp</w:t>
      </w:r>
      <w:proofErr w:type="spellEnd"/>
      <w:proofErr w:type="gramEnd"/>
      <w:r w:rsidR="008E4681" w:rsidRPr="0050092B">
        <w:rPr>
          <w:rFonts w:ascii="Times New Roman" w:hAnsi="Times New Roman" w:cs="Times New Roman"/>
          <w:b/>
          <w:sz w:val="24"/>
          <w:szCs w:val="24"/>
        </w:rPr>
        <w:t xml:space="preserve"> 1480881 / PI</w:t>
      </w:r>
      <w:r w:rsidR="008E4681">
        <w:rPr>
          <w:rFonts w:ascii="Times New Roman" w:hAnsi="Times New Roman" w:cs="Times New Roman"/>
          <w:sz w:val="24"/>
          <w:szCs w:val="24"/>
        </w:rPr>
        <w:t xml:space="preserve"> </w:t>
      </w:r>
      <w:r w:rsidR="00D51BDE">
        <w:rPr>
          <w:rFonts w:ascii="Times New Roman" w:hAnsi="Times New Roman" w:cs="Times New Roman"/>
          <w:b/>
          <w:sz w:val="24"/>
          <w:szCs w:val="24"/>
        </w:rPr>
        <w:t xml:space="preserve">do STJ </w:t>
      </w:r>
      <w:r w:rsidR="008E4681">
        <w:rPr>
          <w:rFonts w:ascii="Times New Roman" w:hAnsi="Times New Roman" w:cs="Times New Roman"/>
          <w:sz w:val="24"/>
          <w:szCs w:val="24"/>
        </w:rPr>
        <w:t>publicado em 10 de setembro de 2015</w:t>
      </w:r>
      <w:r w:rsidR="0050092B">
        <w:rPr>
          <w:rFonts w:ascii="Times New Roman" w:hAnsi="Times New Roman" w:cs="Times New Roman"/>
          <w:sz w:val="24"/>
          <w:szCs w:val="24"/>
        </w:rPr>
        <w:t>:</w:t>
      </w:r>
    </w:p>
    <w:p w:rsidR="0050092B" w:rsidRPr="0050092B" w:rsidRDefault="0050092B" w:rsidP="0050092B">
      <w:pPr>
        <w:spacing w:after="0" w:line="240" w:lineRule="auto"/>
        <w:ind w:left="3261" w:firstLine="279"/>
        <w:jc w:val="both"/>
        <w:rPr>
          <w:rFonts w:ascii="Times New Roman" w:hAnsi="Times New Roman" w:cs="Times New Roman"/>
          <w:sz w:val="24"/>
          <w:szCs w:val="24"/>
        </w:rPr>
      </w:pPr>
      <w:proofErr w:type="gramStart"/>
      <w:r>
        <w:rPr>
          <w:rFonts w:ascii="Times New Roman" w:hAnsi="Times New Roman" w:cs="Times New Roman"/>
          <w:sz w:val="24"/>
          <w:szCs w:val="24"/>
        </w:rPr>
        <w:t>“</w:t>
      </w:r>
      <w:r w:rsidRPr="0050092B">
        <w:rPr>
          <w:rFonts w:ascii="Times New Roman" w:hAnsi="Times New Roman" w:cs="Times New Roman"/>
          <w:sz w:val="24"/>
          <w:szCs w:val="24"/>
        </w:rPr>
        <w:t>para a caracterização do crime de estupro de vulnerável</w:t>
      </w:r>
    </w:p>
    <w:p w:rsidR="0059308F" w:rsidRPr="0050092B" w:rsidRDefault="0050092B" w:rsidP="00A77189">
      <w:pPr>
        <w:spacing w:after="0" w:line="360" w:lineRule="auto"/>
        <w:ind w:left="3261"/>
        <w:jc w:val="both"/>
        <w:rPr>
          <w:rFonts w:ascii="Times New Roman" w:hAnsi="Times New Roman" w:cs="Times New Roman"/>
          <w:sz w:val="24"/>
          <w:szCs w:val="24"/>
        </w:rPr>
      </w:pPr>
      <w:r w:rsidRPr="0050092B">
        <w:rPr>
          <w:rFonts w:ascii="Times New Roman" w:hAnsi="Times New Roman" w:cs="Times New Roman"/>
          <w:sz w:val="24"/>
          <w:szCs w:val="24"/>
        </w:rPr>
        <w:t>previsto</w:t>
      </w:r>
      <w:proofErr w:type="gramEnd"/>
      <w:r w:rsidRPr="0050092B">
        <w:rPr>
          <w:rFonts w:ascii="Times New Roman" w:hAnsi="Times New Roman" w:cs="Times New Roman"/>
          <w:sz w:val="24"/>
          <w:szCs w:val="24"/>
        </w:rPr>
        <w:t xml:space="preserve"> no art. 217-A, caput, do Código Penal, basta que o agente tenha conjunção carnal ou pratique qualquer ato </w:t>
      </w:r>
      <w:r>
        <w:rPr>
          <w:rFonts w:ascii="Times New Roman" w:hAnsi="Times New Roman" w:cs="Times New Roman"/>
          <w:sz w:val="24"/>
          <w:szCs w:val="24"/>
        </w:rPr>
        <w:t>l</w:t>
      </w:r>
      <w:r w:rsidRPr="0050092B">
        <w:rPr>
          <w:rFonts w:ascii="Times New Roman" w:hAnsi="Times New Roman" w:cs="Times New Roman"/>
          <w:sz w:val="24"/>
          <w:szCs w:val="24"/>
        </w:rPr>
        <w:t xml:space="preserve">ibidinoso com pessoa menor de 14 anos. </w:t>
      </w:r>
      <w:proofErr w:type="gramStart"/>
      <w:r w:rsidRPr="0050092B">
        <w:rPr>
          <w:rFonts w:ascii="Times New Roman" w:hAnsi="Times New Roman" w:cs="Times New Roman"/>
          <w:sz w:val="24"/>
          <w:szCs w:val="24"/>
        </w:rPr>
        <w:t>O consentimento da vítima, sua eventual experiência sexual anterior ou a existência de relacionamento amoroso entre o agente e a vítima não afastam a ocorrência do crime.</w:t>
      </w:r>
      <w:r>
        <w:rPr>
          <w:rFonts w:ascii="Times New Roman" w:hAnsi="Times New Roman" w:cs="Times New Roman"/>
          <w:sz w:val="24"/>
          <w:szCs w:val="24"/>
        </w:rPr>
        <w:t>”</w:t>
      </w:r>
      <w:proofErr w:type="gramEnd"/>
    </w:p>
    <w:p w:rsidR="00B63F31" w:rsidRDefault="0050092B" w:rsidP="00A7718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D79E3">
        <w:rPr>
          <w:rFonts w:ascii="Times New Roman" w:hAnsi="Times New Roman" w:cs="Times New Roman"/>
          <w:sz w:val="24"/>
          <w:szCs w:val="24"/>
        </w:rPr>
        <w:t xml:space="preserve">Todavia, parece claro que a vulnerabilidade também é uma presunção que deve ser analisada segundo o caso concreto. Não é possível que o Judiciário fique alheio às mudanças sociais e ao fato de </w:t>
      </w:r>
      <w:r w:rsidR="00E10DD6">
        <w:rPr>
          <w:rFonts w:ascii="Times New Roman" w:hAnsi="Times New Roman" w:cs="Times New Roman"/>
          <w:sz w:val="24"/>
          <w:szCs w:val="24"/>
        </w:rPr>
        <w:t>que a maioria dos jovens inicia</w:t>
      </w:r>
      <w:r w:rsidR="000D79E3">
        <w:rPr>
          <w:rFonts w:ascii="Times New Roman" w:hAnsi="Times New Roman" w:cs="Times New Roman"/>
          <w:sz w:val="24"/>
          <w:szCs w:val="24"/>
        </w:rPr>
        <w:t xml:space="preserve"> suas experiências afetivas e amorosas antes dos 14 anos de idade, as quais não se restringem ao ato sexual propriamente dito, mas carícias que podem se adequar </w:t>
      </w:r>
      <w:r w:rsidR="00B63F31">
        <w:rPr>
          <w:rFonts w:ascii="Times New Roman" w:hAnsi="Times New Roman" w:cs="Times New Roman"/>
          <w:sz w:val="24"/>
          <w:szCs w:val="24"/>
        </w:rPr>
        <w:t>ao conceito de ato libidinoso que, segundo o próprio STJ incluir</w:t>
      </w:r>
      <w:r w:rsidR="00A77189">
        <w:rPr>
          <w:rFonts w:ascii="Times New Roman" w:hAnsi="Times New Roman" w:cs="Times New Roman"/>
          <w:sz w:val="24"/>
          <w:szCs w:val="24"/>
        </w:rPr>
        <w:t>ia</w:t>
      </w:r>
      <w:r w:rsidR="00B63F31">
        <w:rPr>
          <w:rFonts w:ascii="Times New Roman" w:hAnsi="Times New Roman" w:cs="Times New Roman"/>
          <w:sz w:val="24"/>
          <w:szCs w:val="24"/>
        </w:rPr>
        <w:t xml:space="preserve"> um inocente beijo.</w:t>
      </w:r>
    </w:p>
    <w:p w:rsidR="0050092B" w:rsidRDefault="00B63F31" w:rsidP="00D708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Não havendo dados sobre</w:t>
      </w:r>
      <w:r w:rsidR="00E10DD6">
        <w:rPr>
          <w:rFonts w:ascii="Times New Roman" w:hAnsi="Times New Roman" w:cs="Times New Roman"/>
          <w:sz w:val="24"/>
          <w:szCs w:val="24"/>
        </w:rPr>
        <w:t xml:space="preserve"> o início dessa vida afetiva pelo brasileiro, </w:t>
      </w:r>
      <w:r w:rsidR="00FD2979">
        <w:rPr>
          <w:rFonts w:ascii="Times New Roman" w:hAnsi="Times New Roman" w:cs="Times New Roman"/>
          <w:sz w:val="24"/>
          <w:szCs w:val="24"/>
        </w:rPr>
        <w:t>para a realização desse trabalho foi feita</w:t>
      </w:r>
      <w:r w:rsidR="00E10DD6">
        <w:rPr>
          <w:rFonts w:ascii="Times New Roman" w:hAnsi="Times New Roman" w:cs="Times New Roman"/>
          <w:sz w:val="24"/>
          <w:szCs w:val="24"/>
        </w:rPr>
        <w:t xml:space="preserve"> uma pesquisa via aplicativo </w:t>
      </w:r>
      <w:proofErr w:type="spellStart"/>
      <w:proofErr w:type="gramStart"/>
      <w:r w:rsidR="00E10DD6">
        <w:rPr>
          <w:rFonts w:ascii="Times New Roman" w:hAnsi="Times New Roman" w:cs="Times New Roman"/>
          <w:sz w:val="24"/>
          <w:szCs w:val="24"/>
        </w:rPr>
        <w:t>google</w:t>
      </w:r>
      <w:proofErr w:type="spellEnd"/>
      <w:proofErr w:type="gramEnd"/>
      <w:r w:rsidR="00E10DD6">
        <w:rPr>
          <w:rFonts w:ascii="Times New Roman" w:hAnsi="Times New Roman" w:cs="Times New Roman"/>
          <w:sz w:val="24"/>
          <w:szCs w:val="24"/>
        </w:rPr>
        <w:t xml:space="preserve"> em que se obteve 369 respostas válidas sobre a idade que se deu o primeiro beijo</w:t>
      </w:r>
      <w:r w:rsidR="005F420A">
        <w:rPr>
          <w:rStyle w:val="Refdenotaderodap"/>
          <w:rFonts w:ascii="Times New Roman" w:hAnsi="Times New Roman" w:cs="Times New Roman"/>
          <w:sz w:val="24"/>
          <w:szCs w:val="24"/>
        </w:rPr>
        <w:footnoteReference w:id="2"/>
      </w:r>
      <w:r w:rsidR="005F420A">
        <w:rPr>
          <w:rFonts w:ascii="Times New Roman" w:hAnsi="Times New Roman" w:cs="Times New Roman"/>
          <w:sz w:val="24"/>
          <w:szCs w:val="24"/>
        </w:rPr>
        <w:t xml:space="preserve">. Os entrevistados </w:t>
      </w:r>
      <w:r w:rsidR="00A77189">
        <w:rPr>
          <w:rFonts w:ascii="Times New Roman" w:hAnsi="Times New Roman" w:cs="Times New Roman"/>
          <w:sz w:val="24"/>
          <w:szCs w:val="24"/>
        </w:rPr>
        <w:t>brasileiros</w:t>
      </w:r>
      <w:r w:rsidR="008A49D1">
        <w:rPr>
          <w:rFonts w:ascii="Times New Roman" w:hAnsi="Times New Roman" w:cs="Times New Roman"/>
          <w:sz w:val="24"/>
          <w:szCs w:val="24"/>
        </w:rPr>
        <w:t xml:space="preserve"> e moradores do Rio de Janeiro</w:t>
      </w:r>
      <w:r w:rsidR="00A77189">
        <w:rPr>
          <w:rFonts w:ascii="Times New Roman" w:hAnsi="Times New Roman" w:cs="Times New Roman"/>
          <w:sz w:val="24"/>
          <w:szCs w:val="24"/>
        </w:rPr>
        <w:t xml:space="preserve"> </w:t>
      </w:r>
      <w:r w:rsidR="005F420A">
        <w:rPr>
          <w:rFonts w:ascii="Times New Roman" w:hAnsi="Times New Roman" w:cs="Times New Roman"/>
          <w:sz w:val="24"/>
          <w:szCs w:val="24"/>
        </w:rPr>
        <w:t>possuíam idades variadas entre 15 e 60 anos de idade</w:t>
      </w:r>
      <w:r w:rsidR="008A49D1">
        <w:rPr>
          <w:rFonts w:ascii="Times New Roman" w:hAnsi="Times New Roman" w:cs="Times New Roman"/>
          <w:sz w:val="24"/>
          <w:szCs w:val="24"/>
        </w:rPr>
        <w:t>.</w:t>
      </w:r>
      <w:r w:rsidR="005F420A">
        <w:rPr>
          <w:rFonts w:ascii="Times New Roman" w:hAnsi="Times New Roman" w:cs="Times New Roman"/>
          <w:sz w:val="24"/>
          <w:szCs w:val="24"/>
        </w:rPr>
        <w:t xml:space="preserve"> Como a finalidade foi realizar uma simples amostragem, ainda que precária, foi possível observar que 228 entrevistados, ou seja, 61,78 % deram seu primeiro beijo antes dos 14 anos de idade, enquanto que 141 entrevistados teve sua experiência depois dos 14 anos, configurando apenas 38,21 % do total.</w:t>
      </w:r>
      <w:r w:rsidR="00E10DD6">
        <w:rPr>
          <w:rFonts w:ascii="Times New Roman" w:hAnsi="Times New Roman" w:cs="Times New Roman"/>
          <w:sz w:val="24"/>
          <w:szCs w:val="24"/>
        </w:rPr>
        <w:t xml:space="preserve"> </w:t>
      </w:r>
      <w:r>
        <w:rPr>
          <w:rFonts w:ascii="Times New Roman" w:hAnsi="Times New Roman" w:cs="Times New Roman"/>
          <w:sz w:val="24"/>
          <w:szCs w:val="24"/>
        </w:rPr>
        <w:t xml:space="preserve">  </w:t>
      </w:r>
      <w:r w:rsidR="000D79E3">
        <w:rPr>
          <w:rFonts w:ascii="Times New Roman" w:hAnsi="Times New Roman" w:cs="Times New Roman"/>
          <w:sz w:val="24"/>
          <w:szCs w:val="24"/>
        </w:rPr>
        <w:t xml:space="preserve"> </w:t>
      </w:r>
    </w:p>
    <w:p w:rsidR="0050092B" w:rsidRPr="008B1D29" w:rsidRDefault="0050092B" w:rsidP="00E77E03">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5F420A">
        <w:rPr>
          <w:rFonts w:ascii="Times New Roman" w:hAnsi="Times New Roman" w:cs="Times New Roman"/>
          <w:sz w:val="24"/>
          <w:szCs w:val="24"/>
        </w:rPr>
        <w:t>Nota-se, com isto, uma tentativa do Judiciário impor uma m</w:t>
      </w:r>
      <w:r w:rsidR="00E77E03">
        <w:rPr>
          <w:rFonts w:ascii="Times New Roman" w:hAnsi="Times New Roman" w:cs="Times New Roman"/>
          <w:sz w:val="24"/>
          <w:szCs w:val="24"/>
        </w:rPr>
        <w:t>oral incompatível com um processo de secularização em que o Estado só pode intervir punitivamente diante de uma lesão grave a um bem jurídico relevante, como fica claro na fundamentação do voto do referido relator em que “a</w:t>
      </w:r>
      <w:r w:rsidR="00E77E03" w:rsidRPr="00E77E03">
        <w:rPr>
          <w:rFonts w:ascii="Times New Roman" w:hAnsi="Times New Roman" w:cs="Times New Roman"/>
          <w:sz w:val="24"/>
          <w:szCs w:val="24"/>
        </w:rPr>
        <w:t xml:space="preserve"> modernidade, a evolução moral dos costumes sociais e o acesso à</w:t>
      </w:r>
      <w:r w:rsidR="00E77E03">
        <w:rPr>
          <w:rFonts w:ascii="Times New Roman" w:hAnsi="Times New Roman" w:cs="Times New Roman"/>
          <w:sz w:val="24"/>
          <w:szCs w:val="24"/>
        </w:rPr>
        <w:t xml:space="preserve"> </w:t>
      </w:r>
      <w:r w:rsidR="00E77E03" w:rsidRPr="00E77E03">
        <w:rPr>
          <w:rFonts w:ascii="Times New Roman" w:hAnsi="Times New Roman" w:cs="Times New Roman"/>
          <w:sz w:val="24"/>
          <w:szCs w:val="24"/>
        </w:rPr>
        <w:t>informação não podem ser vistos como fatores que se contrapõem à</w:t>
      </w:r>
      <w:r w:rsidR="00E77E03">
        <w:rPr>
          <w:rFonts w:ascii="Times New Roman" w:hAnsi="Times New Roman" w:cs="Times New Roman"/>
          <w:sz w:val="24"/>
          <w:szCs w:val="24"/>
        </w:rPr>
        <w:t xml:space="preserve"> </w:t>
      </w:r>
      <w:r w:rsidR="00E77E03" w:rsidRPr="00E77E03">
        <w:rPr>
          <w:rFonts w:ascii="Times New Roman" w:hAnsi="Times New Roman" w:cs="Times New Roman"/>
          <w:sz w:val="24"/>
          <w:szCs w:val="24"/>
        </w:rPr>
        <w:t>natural tendência civilizatória de proteger certos segmentos da</w:t>
      </w:r>
      <w:r w:rsidR="00E77E03">
        <w:rPr>
          <w:rFonts w:ascii="Times New Roman" w:hAnsi="Times New Roman" w:cs="Times New Roman"/>
          <w:sz w:val="24"/>
          <w:szCs w:val="24"/>
        </w:rPr>
        <w:t xml:space="preserve"> </w:t>
      </w:r>
      <w:r w:rsidR="00E77E03" w:rsidRPr="00E77E03">
        <w:rPr>
          <w:rFonts w:ascii="Times New Roman" w:hAnsi="Times New Roman" w:cs="Times New Roman"/>
          <w:sz w:val="24"/>
          <w:szCs w:val="24"/>
        </w:rPr>
        <w:t>população física, biológica, social ou psiquicamente fragilizados.</w:t>
      </w:r>
      <w:r w:rsidR="00E77E03">
        <w:rPr>
          <w:rFonts w:ascii="Times New Roman" w:hAnsi="Times New Roman" w:cs="Times New Roman"/>
          <w:sz w:val="24"/>
          <w:szCs w:val="24"/>
        </w:rPr>
        <w:t xml:space="preserve">” </w:t>
      </w:r>
      <w:r w:rsidR="00A77189" w:rsidRPr="008B1D29">
        <w:rPr>
          <w:rFonts w:ascii="Times New Roman" w:hAnsi="Times New Roman" w:cs="Times New Roman"/>
          <w:b/>
          <w:sz w:val="24"/>
          <w:szCs w:val="24"/>
        </w:rPr>
        <w:t>(</w:t>
      </w:r>
      <w:proofErr w:type="spellStart"/>
      <w:proofErr w:type="gramStart"/>
      <w:r w:rsidR="00A77189" w:rsidRPr="008B1D29">
        <w:rPr>
          <w:rFonts w:ascii="Times New Roman" w:hAnsi="Times New Roman" w:cs="Times New Roman"/>
          <w:b/>
          <w:sz w:val="24"/>
          <w:szCs w:val="24"/>
        </w:rPr>
        <w:t>REsp</w:t>
      </w:r>
      <w:proofErr w:type="spellEnd"/>
      <w:proofErr w:type="gramEnd"/>
      <w:r w:rsidR="00A77189" w:rsidRPr="008B1D29">
        <w:rPr>
          <w:rFonts w:ascii="Times New Roman" w:hAnsi="Times New Roman" w:cs="Times New Roman"/>
          <w:b/>
          <w:sz w:val="24"/>
          <w:szCs w:val="24"/>
        </w:rPr>
        <w:t xml:space="preserve"> 1480881 / PI)</w:t>
      </w:r>
    </w:p>
    <w:p w:rsidR="00E77E03" w:rsidRDefault="00E77E03" w:rsidP="00E77E0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Segundo </w:t>
      </w:r>
      <w:proofErr w:type="spellStart"/>
      <w:r w:rsidRPr="00E736A8">
        <w:rPr>
          <w:rFonts w:ascii="Times New Roman" w:hAnsi="Times New Roman" w:cs="Times New Roman"/>
          <w:b/>
          <w:sz w:val="24"/>
          <w:szCs w:val="24"/>
        </w:rPr>
        <w:t>Ferrajoli</w:t>
      </w:r>
      <w:proofErr w:type="spellEnd"/>
      <w:r>
        <w:rPr>
          <w:rFonts w:ascii="Times New Roman" w:hAnsi="Times New Roman" w:cs="Times New Roman"/>
          <w:sz w:val="24"/>
          <w:szCs w:val="24"/>
        </w:rPr>
        <w:t xml:space="preserve"> a lei, a pena, não serve apenas para prevenir os delitos injustos, mas, igualmente, as injustas punições, impondo </w:t>
      </w:r>
      <w:r w:rsidR="00B46FC8">
        <w:rPr>
          <w:rFonts w:ascii="Times New Roman" w:hAnsi="Times New Roman" w:cs="Times New Roman"/>
          <w:sz w:val="24"/>
          <w:szCs w:val="24"/>
        </w:rPr>
        <w:t>“</w:t>
      </w:r>
      <w:r>
        <w:rPr>
          <w:rFonts w:ascii="Times New Roman" w:hAnsi="Times New Roman" w:cs="Times New Roman"/>
          <w:sz w:val="24"/>
          <w:szCs w:val="24"/>
        </w:rPr>
        <w:t xml:space="preserve">a secularização do direito e sua separação da moral, da consideração utilitarista da </w:t>
      </w:r>
      <w:r w:rsidR="00B46FC8">
        <w:rPr>
          <w:rFonts w:ascii="Times New Roman" w:hAnsi="Times New Roman" w:cs="Times New Roman"/>
          <w:sz w:val="24"/>
          <w:szCs w:val="24"/>
        </w:rPr>
        <w:t>“</w:t>
      </w:r>
      <w:r>
        <w:rPr>
          <w:rFonts w:ascii="Times New Roman" w:hAnsi="Times New Roman" w:cs="Times New Roman"/>
          <w:sz w:val="24"/>
          <w:szCs w:val="24"/>
        </w:rPr>
        <w:t>necessidade penal</w:t>
      </w:r>
      <w:r w:rsidR="00B46FC8">
        <w:rPr>
          <w:rFonts w:ascii="Times New Roman" w:hAnsi="Times New Roman" w:cs="Times New Roman"/>
          <w:sz w:val="24"/>
          <w:szCs w:val="24"/>
        </w:rPr>
        <w:t>”</w:t>
      </w:r>
      <w:r>
        <w:rPr>
          <w:rFonts w:ascii="Times New Roman" w:hAnsi="Times New Roman" w:cs="Times New Roman"/>
          <w:sz w:val="24"/>
          <w:szCs w:val="24"/>
        </w:rPr>
        <w:t xml:space="preserve"> como tutela de bens fundamentais não </w:t>
      </w:r>
      <w:proofErr w:type="spellStart"/>
      <w:r>
        <w:rPr>
          <w:rFonts w:ascii="Times New Roman" w:hAnsi="Times New Roman" w:cs="Times New Roman"/>
          <w:sz w:val="24"/>
          <w:szCs w:val="24"/>
        </w:rPr>
        <w:t>garantizáveis</w:t>
      </w:r>
      <w:proofErr w:type="spellEnd"/>
      <w:r>
        <w:rPr>
          <w:rFonts w:ascii="Times New Roman" w:hAnsi="Times New Roman" w:cs="Times New Roman"/>
          <w:sz w:val="24"/>
          <w:szCs w:val="24"/>
        </w:rPr>
        <w:t xml:space="preserve"> de outra forma.</w:t>
      </w:r>
      <w:r w:rsidR="00B46FC8">
        <w:rPr>
          <w:rFonts w:ascii="Times New Roman" w:hAnsi="Times New Roman" w:cs="Times New Roman"/>
          <w:sz w:val="24"/>
          <w:szCs w:val="24"/>
        </w:rPr>
        <w:t>”</w:t>
      </w:r>
      <w:r w:rsidR="00D51BDE">
        <w:rPr>
          <w:rFonts w:ascii="Times New Roman" w:hAnsi="Times New Roman" w:cs="Times New Roman"/>
          <w:sz w:val="24"/>
          <w:szCs w:val="24"/>
        </w:rPr>
        <w:t xml:space="preserve"> (</w:t>
      </w:r>
      <w:r w:rsidR="00D25B36">
        <w:rPr>
          <w:rFonts w:ascii="Times New Roman" w:hAnsi="Times New Roman" w:cs="Times New Roman"/>
          <w:sz w:val="24"/>
          <w:szCs w:val="24"/>
        </w:rPr>
        <w:t xml:space="preserve">FERRAJOLI, </w:t>
      </w:r>
      <w:r w:rsidR="00D51BDE">
        <w:rPr>
          <w:rFonts w:ascii="Times New Roman" w:hAnsi="Times New Roman" w:cs="Times New Roman"/>
          <w:sz w:val="24"/>
          <w:szCs w:val="24"/>
        </w:rPr>
        <w:t>2002, p</w:t>
      </w:r>
      <w:r w:rsidR="00A869D9">
        <w:rPr>
          <w:rFonts w:ascii="Times New Roman" w:hAnsi="Times New Roman" w:cs="Times New Roman"/>
          <w:sz w:val="24"/>
          <w:szCs w:val="24"/>
        </w:rPr>
        <w:t xml:space="preserve">. </w:t>
      </w:r>
      <w:r>
        <w:rPr>
          <w:rFonts w:ascii="Times New Roman" w:hAnsi="Times New Roman" w:cs="Times New Roman"/>
          <w:sz w:val="24"/>
          <w:szCs w:val="24"/>
        </w:rPr>
        <w:t>373</w:t>
      </w:r>
      <w:proofErr w:type="gramStart"/>
      <w:r>
        <w:rPr>
          <w:rFonts w:ascii="Times New Roman" w:hAnsi="Times New Roman" w:cs="Times New Roman"/>
          <w:sz w:val="24"/>
          <w:szCs w:val="24"/>
        </w:rPr>
        <w:t>)</w:t>
      </w:r>
      <w:proofErr w:type="gramEnd"/>
    </w:p>
    <w:p w:rsidR="00B46FC8" w:rsidRDefault="00B46FC8" w:rsidP="00E77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D080F">
        <w:rPr>
          <w:rFonts w:ascii="Times New Roman" w:hAnsi="Times New Roman" w:cs="Times New Roman"/>
          <w:sz w:val="24"/>
          <w:szCs w:val="24"/>
        </w:rPr>
        <w:t xml:space="preserve">Admitir a presunção absoluta da vulnerabilidade seria permitir a punição de condutas normais quando inseridas num contexto de construção da personalidade e segurança afetiva do adolescente, incluindo </w:t>
      </w:r>
      <w:r w:rsidR="00BF5DF1">
        <w:rPr>
          <w:rFonts w:ascii="Times New Roman" w:hAnsi="Times New Roman" w:cs="Times New Roman"/>
          <w:sz w:val="24"/>
          <w:szCs w:val="24"/>
        </w:rPr>
        <w:t>situações absurdas, como</w:t>
      </w:r>
      <w:r w:rsidR="00D65C87">
        <w:rPr>
          <w:rFonts w:ascii="Times New Roman" w:hAnsi="Times New Roman" w:cs="Times New Roman"/>
          <w:sz w:val="24"/>
          <w:szCs w:val="24"/>
        </w:rPr>
        <w:t>,</w:t>
      </w:r>
      <w:r w:rsidR="00BF5DF1">
        <w:rPr>
          <w:rFonts w:ascii="Times New Roman" w:hAnsi="Times New Roman" w:cs="Times New Roman"/>
          <w:sz w:val="24"/>
          <w:szCs w:val="24"/>
        </w:rPr>
        <w:t xml:space="preserve"> por exemplo</w:t>
      </w:r>
      <w:r w:rsidR="00D65C87">
        <w:rPr>
          <w:rFonts w:ascii="Times New Roman" w:hAnsi="Times New Roman" w:cs="Times New Roman"/>
          <w:sz w:val="24"/>
          <w:szCs w:val="24"/>
        </w:rPr>
        <w:t>,</w:t>
      </w:r>
      <w:r w:rsidR="00BF5DF1">
        <w:rPr>
          <w:rFonts w:ascii="Times New Roman" w:hAnsi="Times New Roman" w:cs="Times New Roman"/>
          <w:sz w:val="24"/>
          <w:szCs w:val="24"/>
        </w:rPr>
        <w:t xml:space="preserve"> o beijo entre dois </w:t>
      </w:r>
      <w:r w:rsidR="006D080F">
        <w:rPr>
          <w:rFonts w:ascii="Times New Roman" w:hAnsi="Times New Roman" w:cs="Times New Roman"/>
          <w:sz w:val="24"/>
          <w:szCs w:val="24"/>
        </w:rPr>
        <w:t>jovens</w:t>
      </w:r>
      <w:proofErr w:type="gramStart"/>
      <w:r w:rsidR="00BF5DF1">
        <w:rPr>
          <w:rFonts w:ascii="Times New Roman" w:hAnsi="Times New Roman" w:cs="Times New Roman"/>
          <w:sz w:val="24"/>
          <w:szCs w:val="24"/>
        </w:rPr>
        <w:t xml:space="preserve"> </w:t>
      </w:r>
      <w:r w:rsidR="006D080F">
        <w:rPr>
          <w:rFonts w:ascii="Times New Roman" w:hAnsi="Times New Roman" w:cs="Times New Roman"/>
          <w:sz w:val="24"/>
          <w:szCs w:val="24"/>
        </w:rPr>
        <w:t xml:space="preserve"> </w:t>
      </w:r>
      <w:proofErr w:type="gramEnd"/>
      <w:r w:rsidR="00BF5DF1">
        <w:rPr>
          <w:rFonts w:ascii="Times New Roman" w:hAnsi="Times New Roman" w:cs="Times New Roman"/>
          <w:sz w:val="24"/>
          <w:szCs w:val="24"/>
        </w:rPr>
        <w:t>de</w:t>
      </w:r>
      <w:r w:rsidR="006D080F">
        <w:rPr>
          <w:rFonts w:ascii="Times New Roman" w:hAnsi="Times New Roman" w:cs="Times New Roman"/>
          <w:sz w:val="24"/>
          <w:szCs w:val="24"/>
        </w:rPr>
        <w:t xml:space="preserve"> 13 anos</w:t>
      </w:r>
      <w:r w:rsidR="00D65C87">
        <w:rPr>
          <w:rFonts w:ascii="Times New Roman" w:hAnsi="Times New Roman" w:cs="Times New Roman"/>
          <w:sz w:val="24"/>
          <w:szCs w:val="24"/>
        </w:rPr>
        <w:t>, os quais</w:t>
      </w:r>
      <w:r w:rsidR="006D080F">
        <w:rPr>
          <w:rFonts w:ascii="Times New Roman" w:hAnsi="Times New Roman" w:cs="Times New Roman"/>
          <w:sz w:val="24"/>
          <w:szCs w:val="24"/>
        </w:rPr>
        <w:t xml:space="preserve"> estariam praticando atos infracionais análogos ao estupro entre si.</w:t>
      </w:r>
    </w:p>
    <w:p w:rsidR="00E736A8" w:rsidRDefault="00E736A8" w:rsidP="00E77E03">
      <w:pPr>
        <w:spacing w:line="360" w:lineRule="auto"/>
        <w:jc w:val="both"/>
        <w:rPr>
          <w:rFonts w:ascii="Times New Roman" w:hAnsi="Times New Roman" w:cs="Times New Roman"/>
          <w:sz w:val="24"/>
          <w:szCs w:val="24"/>
        </w:rPr>
      </w:pPr>
      <w:r>
        <w:rPr>
          <w:rFonts w:ascii="Times New Roman" w:hAnsi="Times New Roman" w:cs="Times New Roman"/>
          <w:sz w:val="24"/>
          <w:szCs w:val="24"/>
        </w:rPr>
        <w:tab/>
        <w:t>Essa possibilidade afronta um dos alicerces do Estado Democrático de Direito que seja a Dignidade da Pessoa Humana, pois, segundo tal princípio</w:t>
      </w:r>
      <w:r w:rsidR="000F0B71">
        <w:rPr>
          <w:rFonts w:ascii="Times New Roman" w:hAnsi="Times New Roman" w:cs="Times New Roman"/>
          <w:sz w:val="24"/>
          <w:szCs w:val="24"/>
        </w:rPr>
        <w:t xml:space="preserve"> definido por </w:t>
      </w:r>
      <w:r w:rsidR="000F0B71" w:rsidRPr="008A49D1">
        <w:rPr>
          <w:rFonts w:ascii="Times New Roman" w:hAnsi="Times New Roman" w:cs="Times New Roman"/>
          <w:b/>
          <w:sz w:val="24"/>
          <w:szCs w:val="24"/>
        </w:rPr>
        <w:t>Kant</w:t>
      </w:r>
      <w:r>
        <w:rPr>
          <w:rFonts w:ascii="Times New Roman" w:hAnsi="Times New Roman" w:cs="Times New Roman"/>
          <w:sz w:val="24"/>
          <w:szCs w:val="24"/>
        </w:rPr>
        <w:t xml:space="preserve">, </w:t>
      </w:r>
      <w:r w:rsidR="000F0B71">
        <w:rPr>
          <w:rFonts w:ascii="Times New Roman" w:hAnsi="Times New Roman" w:cs="Times New Roman"/>
          <w:sz w:val="24"/>
          <w:szCs w:val="24"/>
        </w:rPr>
        <w:t>“</w:t>
      </w:r>
      <w:r>
        <w:rPr>
          <w:rFonts w:ascii="Times New Roman" w:hAnsi="Times New Roman" w:cs="Times New Roman"/>
          <w:sz w:val="24"/>
          <w:szCs w:val="24"/>
        </w:rPr>
        <w:t>o homem</w:t>
      </w:r>
      <w:r w:rsidR="000F0B71">
        <w:rPr>
          <w:rFonts w:ascii="Times New Roman" w:hAnsi="Times New Roman" w:cs="Times New Roman"/>
          <w:sz w:val="24"/>
          <w:szCs w:val="24"/>
        </w:rPr>
        <w:t>... existe como f</w:t>
      </w:r>
      <w:r>
        <w:rPr>
          <w:rFonts w:ascii="Times New Roman" w:hAnsi="Times New Roman" w:cs="Times New Roman"/>
          <w:sz w:val="24"/>
          <w:szCs w:val="24"/>
        </w:rPr>
        <w:t>im em si mesmo,</w:t>
      </w:r>
      <w:r w:rsidR="000F0B71">
        <w:rPr>
          <w:rFonts w:ascii="Times New Roman" w:hAnsi="Times New Roman" w:cs="Times New Roman"/>
          <w:sz w:val="24"/>
          <w:szCs w:val="24"/>
        </w:rPr>
        <w:t xml:space="preserve"> e não apenas como meio para o uso arbitrário desta ou daquela vontade”</w:t>
      </w:r>
      <w:r w:rsidR="00D51BDE">
        <w:rPr>
          <w:rFonts w:ascii="Times New Roman" w:hAnsi="Times New Roman" w:cs="Times New Roman"/>
          <w:sz w:val="24"/>
          <w:szCs w:val="24"/>
        </w:rPr>
        <w:t xml:space="preserve"> (</w:t>
      </w:r>
      <w:r w:rsidR="00D25B36">
        <w:rPr>
          <w:rFonts w:ascii="Times New Roman" w:hAnsi="Times New Roman" w:cs="Times New Roman"/>
          <w:sz w:val="24"/>
          <w:szCs w:val="24"/>
        </w:rPr>
        <w:t xml:space="preserve">KANT, </w:t>
      </w:r>
      <w:r w:rsidR="00D51BDE">
        <w:rPr>
          <w:rFonts w:ascii="Times New Roman" w:hAnsi="Times New Roman" w:cs="Times New Roman"/>
          <w:sz w:val="24"/>
          <w:szCs w:val="24"/>
        </w:rPr>
        <w:t>2002, p. 58)</w:t>
      </w:r>
      <w:r w:rsidR="000F0B71">
        <w:rPr>
          <w:rFonts w:ascii="Times New Roman" w:hAnsi="Times New Roman" w:cs="Times New Roman"/>
          <w:sz w:val="24"/>
          <w:szCs w:val="24"/>
        </w:rPr>
        <w:t xml:space="preserve">, o que se observa </w:t>
      </w:r>
      <w:r>
        <w:rPr>
          <w:rFonts w:ascii="Times New Roman" w:hAnsi="Times New Roman" w:cs="Times New Roman"/>
          <w:sz w:val="24"/>
          <w:szCs w:val="24"/>
        </w:rPr>
        <w:t xml:space="preserve">nessa </w:t>
      </w:r>
      <w:r w:rsidR="000F0B71">
        <w:rPr>
          <w:rFonts w:ascii="Times New Roman" w:hAnsi="Times New Roman" w:cs="Times New Roman"/>
          <w:sz w:val="24"/>
          <w:szCs w:val="24"/>
        </w:rPr>
        <w:t xml:space="preserve">atual </w:t>
      </w:r>
      <w:r>
        <w:rPr>
          <w:rFonts w:ascii="Times New Roman" w:hAnsi="Times New Roman" w:cs="Times New Roman"/>
          <w:sz w:val="24"/>
          <w:szCs w:val="24"/>
        </w:rPr>
        <w:t xml:space="preserve">tendência </w:t>
      </w:r>
      <w:r w:rsidR="000F0B71">
        <w:rPr>
          <w:rFonts w:ascii="Times New Roman" w:hAnsi="Times New Roman" w:cs="Times New Roman"/>
          <w:sz w:val="24"/>
          <w:szCs w:val="24"/>
        </w:rPr>
        <w:t>em que o</w:t>
      </w:r>
      <w:r>
        <w:rPr>
          <w:rFonts w:ascii="Times New Roman" w:hAnsi="Times New Roman" w:cs="Times New Roman"/>
          <w:sz w:val="24"/>
          <w:szCs w:val="24"/>
        </w:rPr>
        <w:t xml:space="preserve"> condenado passa a ser um meio, uma forma de afirmação de determinado modelo de conduta não imposta pela lei ou pela Constituição, mas coadunado a um padrão definido por </w:t>
      </w:r>
      <w:r w:rsidR="00D51BDE">
        <w:rPr>
          <w:rFonts w:ascii="Times New Roman" w:hAnsi="Times New Roman" w:cs="Times New Roman"/>
          <w:sz w:val="24"/>
          <w:szCs w:val="24"/>
        </w:rPr>
        <w:t>aqueles que compõem</w:t>
      </w:r>
      <w:r>
        <w:rPr>
          <w:rFonts w:ascii="Times New Roman" w:hAnsi="Times New Roman" w:cs="Times New Roman"/>
          <w:sz w:val="24"/>
          <w:szCs w:val="24"/>
        </w:rPr>
        <w:t xml:space="preserve"> </w:t>
      </w:r>
      <w:r>
        <w:rPr>
          <w:rFonts w:ascii="Times New Roman" w:hAnsi="Times New Roman" w:cs="Times New Roman"/>
          <w:sz w:val="24"/>
          <w:szCs w:val="24"/>
        </w:rPr>
        <w:lastRenderedPageBreak/>
        <w:t>o órgão julgador, de maneira parcial</w:t>
      </w:r>
      <w:r w:rsidR="000F0B71">
        <w:rPr>
          <w:rFonts w:ascii="Times New Roman" w:hAnsi="Times New Roman" w:cs="Times New Roman"/>
          <w:sz w:val="24"/>
          <w:szCs w:val="24"/>
        </w:rPr>
        <w:t>,</w:t>
      </w:r>
      <w:r>
        <w:rPr>
          <w:rFonts w:ascii="Times New Roman" w:hAnsi="Times New Roman" w:cs="Times New Roman"/>
          <w:sz w:val="24"/>
          <w:szCs w:val="24"/>
        </w:rPr>
        <w:t xml:space="preserve"> conforme seus valores e olhar de mundo </w:t>
      </w:r>
      <w:r w:rsidR="000F0B71">
        <w:rPr>
          <w:rFonts w:ascii="Times New Roman" w:hAnsi="Times New Roman" w:cs="Times New Roman"/>
          <w:sz w:val="24"/>
          <w:szCs w:val="24"/>
        </w:rPr>
        <w:t>de forma</w:t>
      </w:r>
      <w:r>
        <w:rPr>
          <w:rFonts w:ascii="Times New Roman" w:hAnsi="Times New Roman" w:cs="Times New Roman"/>
          <w:sz w:val="24"/>
          <w:szCs w:val="24"/>
        </w:rPr>
        <w:t xml:space="preserve"> incompatível com a realidade social pátria.</w:t>
      </w:r>
    </w:p>
    <w:p w:rsidR="006D080F" w:rsidRDefault="006D080F" w:rsidP="00E77E03">
      <w:pPr>
        <w:spacing w:line="360" w:lineRule="auto"/>
        <w:jc w:val="both"/>
        <w:rPr>
          <w:rFonts w:ascii="Times New Roman" w:hAnsi="Times New Roman" w:cs="Times New Roman"/>
          <w:sz w:val="24"/>
          <w:szCs w:val="24"/>
        </w:rPr>
      </w:pPr>
      <w:r>
        <w:rPr>
          <w:rFonts w:ascii="Times New Roman" w:hAnsi="Times New Roman" w:cs="Times New Roman"/>
          <w:sz w:val="24"/>
          <w:szCs w:val="24"/>
        </w:rPr>
        <w:tab/>
        <w:t>Co</w:t>
      </w:r>
      <w:r w:rsidR="00A00B97">
        <w:rPr>
          <w:rFonts w:ascii="Times New Roman" w:hAnsi="Times New Roman" w:cs="Times New Roman"/>
          <w:sz w:val="24"/>
          <w:szCs w:val="24"/>
        </w:rPr>
        <w:t>nforme</w:t>
      </w:r>
      <w:r>
        <w:rPr>
          <w:rFonts w:ascii="Times New Roman" w:hAnsi="Times New Roman" w:cs="Times New Roman"/>
          <w:sz w:val="24"/>
          <w:szCs w:val="24"/>
        </w:rPr>
        <w:t xml:space="preserve"> </w:t>
      </w:r>
      <w:proofErr w:type="spellStart"/>
      <w:r w:rsidRPr="00E736A8">
        <w:rPr>
          <w:rFonts w:ascii="Times New Roman" w:hAnsi="Times New Roman" w:cs="Times New Roman"/>
          <w:b/>
          <w:sz w:val="24"/>
          <w:szCs w:val="24"/>
        </w:rPr>
        <w:t>Hassemer</w:t>
      </w:r>
      <w:proofErr w:type="spellEnd"/>
      <w:r>
        <w:rPr>
          <w:rFonts w:ascii="Times New Roman" w:hAnsi="Times New Roman" w:cs="Times New Roman"/>
          <w:sz w:val="24"/>
          <w:szCs w:val="24"/>
        </w:rPr>
        <w:t>, o direito penal tornou-se portador das esperanças de se resolver os problemas sociais e políticos em uma demanda de urgência diante</w:t>
      </w:r>
      <w:r w:rsidR="00A00B97">
        <w:rPr>
          <w:rFonts w:ascii="Times New Roman" w:hAnsi="Times New Roman" w:cs="Times New Roman"/>
          <w:sz w:val="24"/>
          <w:szCs w:val="24"/>
        </w:rPr>
        <w:t xml:space="preserve"> da promessa de impor sua moral</w:t>
      </w:r>
      <w:r w:rsidR="00205AB4">
        <w:rPr>
          <w:rFonts w:ascii="Times New Roman" w:hAnsi="Times New Roman" w:cs="Times New Roman"/>
          <w:sz w:val="24"/>
          <w:szCs w:val="24"/>
        </w:rPr>
        <w:t>, tornando-se simbólica e lesiva, quando seus meios se mos</w:t>
      </w:r>
      <w:r w:rsidR="00A16F56">
        <w:rPr>
          <w:rFonts w:ascii="Times New Roman" w:hAnsi="Times New Roman" w:cs="Times New Roman"/>
          <w:sz w:val="24"/>
          <w:szCs w:val="24"/>
        </w:rPr>
        <w:t>tram incompatíveis para alcançar</w:t>
      </w:r>
      <w:r w:rsidR="00205AB4">
        <w:rPr>
          <w:rFonts w:ascii="Times New Roman" w:hAnsi="Times New Roman" w:cs="Times New Roman"/>
          <w:sz w:val="24"/>
          <w:szCs w:val="24"/>
        </w:rPr>
        <w:t xml:space="preserve"> tais fins gerando consequências mais graves do que aquelas que pretende prevenir, tendo a Justiça como objeto não o combate, mas a ponderação, pois caso contrário, “ela provocará, querendo ou não, a frustração de expectativas e o acréscimo de lesões, não podendo representa-la melhor do que ela realmente o é.” (</w:t>
      </w:r>
      <w:r w:rsidR="00D25B36">
        <w:rPr>
          <w:rFonts w:ascii="Times New Roman" w:hAnsi="Times New Roman" w:cs="Times New Roman"/>
          <w:sz w:val="24"/>
          <w:szCs w:val="24"/>
        </w:rPr>
        <w:t xml:space="preserve">HASSEMER, </w:t>
      </w:r>
      <w:r w:rsidR="00205AB4">
        <w:rPr>
          <w:rFonts w:ascii="Times New Roman" w:hAnsi="Times New Roman" w:cs="Times New Roman"/>
          <w:sz w:val="24"/>
          <w:szCs w:val="24"/>
        </w:rPr>
        <w:t>2007, p. 30 e 83</w:t>
      </w:r>
      <w:proofErr w:type="gramStart"/>
      <w:r w:rsidR="00205AB4">
        <w:rPr>
          <w:rFonts w:ascii="Times New Roman" w:hAnsi="Times New Roman" w:cs="Times New Roman"/>
          <w:sz w:val="24"/>
          <w:szCs w:val="24"/>
        </w:rPr>
        <w:t>)</w:t>
      </w:r>
      <w:proofErr w:type="gramEnd"/>
    </w:p>
    <w:p w:rsidR="00D51BDE" w:rsidRDefault="00D51BDE" w:rsidP="00A00B97">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CONCLUSÃO</w:t>
      </w:r>
    </w:p>
    <w:p w:rsidR="00D51BDE" w:rsidRPr="00D51BDE" w:rsidRDefault="00D51BDE" w:rsidP="00E77E0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Diante do exposto verifica-se a atual afronta por parte de vários julgados do STJ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preceitos fundamentais de nossa Carta Maior como os Princípios da Proporcionalidade e à própria Dignidade da Pessoa Humana por definir como crimes graves condutas com pouca ou nenhuma lesividade ignorando a realidade social em que tais práticas encontram-se inseridas.</w:t>
      </w:r>
    </w:p>
    <w:p w:rsidR="005E6FFC" w:rsidRDefault="00CA556B" w:rsidP="0006621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E6FFC">
        <w:rPr>
          <w:rFonts w:ascii="Times New Roman" w:hAnsi="Times New Roman" w:cs="Times New Roman"/>
          <w:sz w:val="24"/>
          <w:szCs w:val="24"/>
        </w:rPr>
        <w:t xml:space="preserve">       BIBLIOGRAFIA:</w:t>
      </w:r>
    </w:p>
    <w:p w:rsidR="005E6FFC" w:rsidRDefault="00D65C87" w:rsidP="00A869D9">
      <w:pPr>
        <w:spacing w:line="360" w:lineRule="auto"/>
        <w:jc w:val="both"/>
        <w:rPr>
          <w:rFonts w:ascii="Times New Roman" w:hAnsi="Times New Roman" w:cs="Times New Roman"/>
          <w:sz w:val="24"/>
          <w:szCs w:val="24"/>
        </w:rPr>
      </w:pPr>
      <w:r>
        <w:rPr>
          <w:rFonts w:ascii="Times New Roman" w:hAnsi="Times New Roman" w:cs="Times New Roman"/>
          <w:sz w:val="24"/>
          <w:szCs w:val="24"/>
        </w:rPr>
        <w:t>BITTENCOURT, C</w:t>
      </w:r>
      <w:r w:rsidR="00A869D9">
        <w:rPr>
          <w:rFonts w:ascii="Times New Roman" w:hAnsi="Times New Roman" w:cs="Times New Roman"/>
          <w:sz w:val="24"/>
          <w:szCs w:val="24"/>
        </w:rPr>
        <w:t>.</w:t>
      </w:r>
      <w:r>
        <w:rPr>
          <w:rFonts w:ascii="Times New Roman" w:hAnsi="Times New Roman" w:cs="Times New Roman"/>
          <w:sz w:val="24"/>
          <w:szCs w:val="24"/>
        </w:rPr>
        <w:t xml:space="preserve"> R.</w:t>
      </w:r>
      <w:r w:rsidR="005E6FFC">
        <w:rPr>
          <w:rFonts w:ascii="Times New Roman" w:hAnsi="Times New Roman" w:cs="Times New Roman"/>
          <w:sz w:val="24"/>
          <w:szCs w:val="24"/>
        </w:rPr>
        <w:t xml:space="preserve"> </w:t>
      </w:r>
      <w:r>
        <w:rPr>
          <w:rFonts w:ascii="Times New Roman" w:hAnsi="Times New Roman" w:cs="Times New Roman"/>
          <w:b/>
          <w:sz w:val="24"/>
          <w:szCs w:val="24"/>
        </w:rPr>
        <w:t>Tratado de Direito Penal, vol. IV</w:t>
      </w:r>
      <w:r w:rsidR="00DF4F21">
        <w:rPr>
          <w:rFonts w:ascii="Times New Roman" w:hAnsi="Times New Roman" w:cs="Times New Roman"/>
          <w:sz w:val="24"/>
          <w:szCs w:val="24"/>
        </w:rPr>
        <w:t xml:space="preserve">. </w:t>
      </w:r>
      <w:proofErr w:type="gramStart"/>
      <w:r w:rsidR="00DF4F21">
        <w:rPr>
          <w:rFonts w:ascii="Times New Roman" w:hAnsi="Times New Roman" w:cs="Times New Roman"/>
          <w:sz w:val="24"/>
          <w:szCs w:val="24"/>
        </w:rPr>
        <w:t>9</w:t>
      </w:r>
      <w:proofErr w:type="gramEnd"/>
      <w:r>
        <w:rPr>
          <w:rFonts w:ascii="Times New Roman" w:hAnsi="Times New Roman" w:cs="Times New Roman"/>
          <w:sz w:val="24"/>
          <w:szCs w:val="24"/>
        </w:rPr>
        <w:t xml:space="preserve"> ed. São Paulo: Saraiva, 2015</w:t>
      </w:r>
      <w:r w:rsidR="005E6FFC">
        <w:rPr>
          <w:rFonts w:ascii="Times New Roman" w:hAnsi="Times New Roman" w:cs="Times New Roman"/>
          <w:sz w:val="24"/>
          <w:szCs w:val="24"/>
        </w:rPr>
        <w:t xml:space="preserve">. </w:t>
      </w:r>
      <w:r w:rsidR="00DF4F21">
        <w:rPr>
          <w:rFonts w:ascii="Times New Roman" w:hAnsi="Times New Roman" w:cs="Times New Roman"/>
          <w:sz w:val="24"/>
          <w:szCs w:val="24"/>
        </w:rPr>
        <w:t>611 p</w:t>
      </w:r>
      <w:r w:rsidR="00A869D9">
        <w:rPr>
          <w:rFonts w:ascii="Times New Roman" w:hAnsi="Times New Roman" w:cs="Times New Roman"/>
          <w:sz w:val="24"/>
          <w:szCs w:val="24"/>
        </w:rPr>
        <w:t>.</w:t>
      </w:r>
    </w:p>
    <w:p w:rsidR="00D65C87" w:rsidRDefault="00D65C87" w:rsidP="00A869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CAPEZ, F. </w:t>
      </w:r>
      <w:r>
        <w:rPr>
          <w:rFonts w:ascii="Times New Roman" w:hAnsi="Times New Roman" w:cs="Times New Roman"/>
          <w:b/>
          <w:sz w:val="24"/>
          <w:szCs w:val="24"/>
        </w:rPr>
        <w:t xml:space="preserve">Curso de Direito Penal, Vol. III. </w:t>
      </w:r>
      <w:r>
        <w:rPr>
          <w:rFonts w:ascii="Times New Roman" w:hAnsi="Times New Roman" w:cs="Times New Roman"/>
          <w:sz w:val="24"/>
          <w:szCs w:val="24"/>
        </w:rPr>
        <w:t>13</w:t>
      </w:r>
      <w:r w:rsidR="005E6FFC">
        <w:rPr>
          <w:rFonts w:ascii="Times New Roman" w:hAnsi="Times New Roman" w:cs="Times New Roman"/>
          <w:sz w:val="24"/>
          <w:szCs w:val="24"/>
        </w:rPr>
        <w:t xml:space="preserve"> ed. </w:t>
      </w:r>
      <w:r>
        <w:rPr>
          <w:rFonts w:ascii="Times New Roman" w:hAnsi="Times New Roman" w:cs="Times New Roman"/>
          <w:sz w:val="24"/>
          <w:szCs w:val="24"/>
        </w:rPr>
        <w:t xml:space="preserve">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2015. </w:t>
      </w:r>
      <w:r w:rsidR="00DF4F21">
        <w:rPr>
          <w:rFonts w:ascii="Times New Roman" w:hAnsi="Times New Roman" w:cs="Times New Roman"/>
          <w:sz w:val="24"/>
          <w:szCs w:val="24"/>
        </w:rPr>
        <w:t>779 p</w:t>
      </w:r>
      <w:r w:rsidR="00A869D9">
        <w:rPr>
          <w:rFonts w:ascii="Times New Roman" w:hAnsi="Times New Roman" w:cs="Times New Roman"/>
          <w:sz w:val="24"/>
          <w:szCs w:val="24"/>
        </w:rPr>
        <w:t>.</w:t>
      </w:r>
    </w:p>
    <w:p w:rsidR="00312CC5" w:rsidRDefault="00D65C87" w:rsidP="00A869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FERRAJOLI, L. </w:t>
      </w:r>
      <w:r>
        <w:rPr>
          <w:rFonts w:ascii="Times New Roman" w:hAnsi="Times New Roman" w:cs="Times New Roman"/>
          <w:b/>
          <w:sz w:val="24"/>
          <w:szCs w:val="24"/>
        </w:rPr>
        <w:t xml:space="preserve">Direito e Razão: teoria do </w:t>
      </w:r>
      <w:proofErr w:type="spellStart"/>
      <w:r>
        <w:rPr>
          <w:rFonts w:ascii="Times New Roman" w:hAnsi="Times New Roman" w:cs="Times New Roman"/>
          <w:b/>
          <w:sz w:val="24"/>
          <w:szCs w:val="24"/>
        </w:rPr>
        <w:t>garantismo</w:t>
      </w:r>
      <w:proofErr w:type="spellEnd"/>
      <w:r>
        <w:rPr>
          <w:rFonts w:ascii="Times New Roman" w:hAnsi="Times New Roman" w:cs="Times New Roman"/>
          <w:b/>
          <w:sz w:val="24"/>
          <w:szCs w:val="24"/>
        </w:rPr>
        <w:t xml:space="preserve"> penal. </w:t>
      </w:r>
      <w:r>
        <w:rPr>
          <w:rFonts w:ascii="Times New Roman" w:hAnsi="Times New Roman" w:cs="Times New Roman"/>
          <w:sz w:val="24"/>
          <w:szCs w:val="24"/>
        </w:rPr>
        <w:t>São Paulo: Revista dos Tribunais, 2002.</w:t>
      </w:r>
      <w:r w:rsidR="00A869D9">
        <w:rPr>
          <w:rFonts w:ascii="Times New Roman" w:hAnsi="Times New Roman" w:cs="Times New Roman"/>
          <w:sz w:val="24"/>
          <w:szCs w:val="24"/>
        </w:rPr>
        <w:t xml:space="preserve"> </w:t>
      </w:r>
      <w:r w:rsidR="00DF4F21">
        <w:rPr>
          <w:rFonts w:ascii="Times New Roman" w:hAnsi="Times New Roman" w:cs="Times New Roman"/>
          <w:sz w:val="24"/>
          <w:szCs w:val="24"/>
        </w:rPr>
        <w:t xml:space="preserve">766 p. </w:t>
      </w:r>
    </w:p>
    <w:p w:rsidR="00312CC5" w:rsidRPr="00312CC5" w:rsidRDefault="00312CC5" w:rsidP="00A869D9">
      <w:pPr>
        <w:spacing w:line="360" w:lineRule="auto"/>
        <w:jc w:val="both"/>
        <w:rPr>
          <w:rFonts w:ascii="Times New Roman" w:hAnsi="Times New Roman" w:cs="Times New Roman"/>
          <w:sz w:val="24"/>
          <w:szCs w:val="24"/>
        </w:rPr>
      </w:pPr>
      <w:r>
        <w:rPr>
          <w:rFonts w:ascii="Times New Roman" w:hAnsi="Times New Roman" w:cs="Times New Roman"/>
          <w:sz w:val="24"/>
          <w:szCs w:val="24"/>
        </w:rPr>
        <w:t>GUSTIN, M. B. S</w:t>
      </w:r>
      <w:r w:rsidR="00A869D9">
        <w:rPr>
          <w:rFonts w:ascii="Times New Roman" w:hAnsi="Times New Roman" w:cs="Times New Roman"/>
          <w:sz w:val="24"/>
          <w:szCs w:val="24"/>
        </w:rPr>
        <w:t xml:space="preserve">; </w:t>
      </w:r>
      <w:r>
        <w:rPr>
          <w:rFonts w:ascii="Times New Roman" w:hAnsi="Times New Roman" w:cs="Times New Roman"/>
          <w:sz w:val="24"/>
          <w:szCs w:val="24"/>
        </w:rPr>
        <w:t xml:space="preserve">DIAS, M. T. F. </w:t>
      </w:r>
      <w:r>
        <w:rPr>
          <w:rFonts w:ascii="Times New Roman" w:hAnsi="Times New Roman" w:cs="Times New Roman"/>
          <w:b/>
          <w:sz w:val="24"/>
          <w:szCs w:val="24"/>
        </w:rPr>
        <w:t xml:space="preserve">(Re) pensando a pesquisa jurídica: teoria e prática. </w:t>
      </w:r>
      <w:r>
        <w:rPr>
          <w:rFonts w:ascii="Times New Roman" w:hAnsi="Times New Roman" w:cs="Times New Roman"/>
          <w:sz w:val="24"/>
          <w:szCs w:val="24"/>
        </w:rPr>
        <w:t>Belo Horizonte: Del Rey, 2013.</w:t>
      </w:r>
      <w:r w:rsidR="00DF4F21">
        <w:rPr>
          <w:rFonts w:ascii="Times New Roman" w:hAnsi="Times New Roman" w:cs="Times New Roman"/>
          <w:sz w:val="24"/>
          <w:szCs w:val="24"/>
        </w:rPr>
        <w:t xml:space="preserve"> 236 p.</w:t>
      </w:r>
    </w:p>
    <w:p w:rsidR="00D51BDE" w:rsidRDefault="00D65C87" w:rsidP="00A869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HASSEMER, W. </w:t>
      </w:r>
      <w:r>
        <w:rPr>
          <w:rFonts w:ascii="Times New Roman" w:hAnsi="Times New Roman" w:cs="Times New Roman"/>
          <w:b/>
          <w:sz w:val="24"/>
          <w:szCs w:val="24"/>
        </w:rPr>
        <w:t xml:space="preserve">Direito Penal Libertário. </w:t>
      </w:r>
      <w:r>
        <w:rPr>
          <w:rFonts w:ascii="Times New Roman" w:hAnsi="Times New Roman" w:cs="Times New Roman"/>
          <w:sz w:val="24"/>
          <w:szCs w:val="24"/>
        </w:rPr>
        <w:t>Belo Horizonte: Del Rey, 2007.</w:t>
      </w:r>
      <w:r w:rsidR="00A869D9">
        <w:rPr>
          <w:rFonts w:ascii="Times New Roman" w:hAnsi="Times New Roman" w:cs="Times New Roman"/>
          <w:sz w:val="24"/>
          <w:szCs w:val="24"/>
        </w:rPr>
        <w:t xml:space="preserve"> </w:t>
      </w:r>
      <w:r w:rsidR="00DF4F21">
        <w:rPr>
          <w:rFonts w:ascii="Times New Roman" w:hAnsi="Times New Roman" w:cs="Times New Roman"/>
          <w:sz w:val="24"/>
          <w:szCs w:val="24"/>
        </w:rPr>
        <w:t>244 p.</w:t>
      </w:r>
    </w:p>
    <w:p w:rsidR="00D51BDE" w:rsidRPr="00D51BDE" w:rsidRDefault="00D51BDE" w:rsidP="00A869D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KANT, I. </w:t>
      </w:r>
      <w:r>
        <w:rPr>
          <w:rFonts w:ascii="Times New Roman" w:hAnsi="Times New Roman" w:cs="Times New Roman"/>
          <w:b/>
          <w:sz w:val="24"/>
          <w:szCs w:val="24"/>
        </w:rPr>
        <w:t xml:space="preserve">Fundamentação da Metafísica dos Costumes. </w:t>
      </w:r>
      <w:r w:rsidRPr="00312CC5">
        <w:rPr>
          <w:rFonts w:ascii="Times New Roman" w:hAnsi="Times New Roman" w:cs="Times New Roman"/>
          <w:sz w:val="24"/>
          <w:szCs w:val="24"/>
        </w:rPr>
        <w:t xml:space="preserve">São Paulo: </w:t>
      </w:r>
      <w:r w:rsidR="00312CC5" w:rsidRPr="00312CC5">
        <w:rPr>
          <w:rFonts w:ascii="Times New Roman" w:hAnsi="Times New Roman" w:cs="Times New Roman"/>
          <w:sz w:val="24"/>
          <w:szCs w:val="24"/>
        </w:rPr>
        <w:t xml:space="preserve">Martin </w:t>
      </w:r>
      <w:proofErr w:type="spellStart"/>
      <w:r w:rsidR="00312CC5" w:rsidRPr="00312CC5">
        <w:rPr>
          <w:rFonts w:ascii="Times New Roman" w:hAnsi="Times New Roman" w:cs="Times New Roman"/>
          <w:sz w:val="24"/>
          <w:szCs w:val="24"/>
        </w:rPr>
        <w:t>Claret</w:t>
      </w:r>
      <w:proofErr w:type="spellEnd"/>
      <w:r w:rsidR="00312CC5" w:rsidRPr="00312CC5">
        <w:rPr>
          <w:rFonts w:ascii="Times New Roman" w:hAnsi="Times New Roman" w:cs="Times New Roman"/>
          <w:sz w:val="24"/>
          <w:szCs w:val="24"/>
        </w:rPr>
        <w:t>, 2002.</w:t>
      </w:r>
      <w:r w:rsidR="00A869D9">
        <w:rPr>
          <w:rFonts w:ascii="Times New Roman" w:hAnsi="Times New Roman" w:cs="Times New Roman"/>
          <w:sz w:val="24"/>
          <w:szCs w:val="24"/>
        </w:rPr>
        <w:t xml:space="preserve"> </w:t>
      </w:r>
      <w:r w:rsidR="00DF4F21">
        <w:rPr>
          <w:rFonts w:ascii="Times New Roman" w:hAnsi="Times New Roman" w:cs="Times New Roman"/>
          <w:sz w:val="24"/>
          <w:szCs w:val="24"/>
        </w:rPr>
        <w:t>139 p.</w:t>
      </w:r>
    </w:p>
    <w:p w:rsidR="005E6FFC" w:rsidRDefault="00D65C87" w:rsidP="00A869D9">
      <w:pPr>
        <w:spacing w:line="360" w:lineRule="auto"/>
        <w:jc w:val="both"/>
        <w:rPr>
          <w:rFonts w:ascii="Times New Roman" w:hAnsi="Times New Roman" w:cs="Times New Roman"/>
          <w:sz w:val="24"/>
          <w:szCs w:val="24"/>
        </w:rPr>
      </w:pPr>
      <w:r>
        <w:rPr>
          <w:rFonts w:ascii="Times New Roman" w:hAnsi="Times New Roman" w:cs="Times New Roman"/>
          <w:sz w:val="24"/>
          <w:szCs w:val="24"/>
        </w:rPr>
        <w:t>NUCCI, G</w:t>
      </w:r>
      <w:r w:rsidR="00A869D9">
        <w:rPr>
          <w:rFonts w:ascii="Times New Roman" w:hAnsi="Times New Roman" w:cs="Times New Roman"/>
          <w:sz w:val="24"/>
          <w:szCs w:val="24"/>
        </w:rPr>
        <w:t>.</w:t>
      </w:r>
      <w:r>
        <w:rPr>
          <w:rFonts w:ascii="Times New Roman" w:hAnsi="Times New Roman" w:cs="Times New Roman"/>
          <w:sz w:val="24"/>
          <w:szCs w:val="24"/>
        </w:rPr>
        <w:t xml:space="preserve"> S. </w:t>
      </w:r>
      <w:r>
        <w:rPr>
          <w:rFonts w:ascii="Times New Roman" w:hAnsi="Times New Roman" w:cs="Times New Roman"/>
          <w:b/>
          <w:sz w:val="24"/>
          <w:szCs w:val="24"/>
        </w:rPr>
        <w:t xml:space="preserve">Manual de Direito Penal. </w:t>
      </w:r>
      <w:r w:rsidR="00DF4F21">
        <w:rPr>
          <w:rFonts w:ascii="Times New Roman" w:hAnsi="Times New Roman" w:cs="Times New Roman"/>
          <w:sz w:val="24"/>
          <w:szCs w:val="24"/>
        </w:rPr>
        <w:t xml:space="preserve">11 ed. </w:t>
      </w:r>
      <w:r>
        <w:rPr>
          <w:rFonts w:ascii="Times New Roman" w:hAnsi="Times New Roman" w:cs="Times New Roman"/>
          <w:sz w:val="24"/>
          <w:szCs w:val="24"/>
        </w:rPr>
        <w:t>Rio de Janeiro: Forense, 2015.</w:t>
      </w:r>
      <w:r w:rsidR="00A869D9">
        <w:rPr>
          <w:rFonts w:ascii="Times New Roman" w:hAnsi="Times New Roman" w:cs="Times New Roman"/>
          <w:sz w:val="24"/>
          <w:szCs w:val="24"/>
        </w:rPr>
        <w:t xml:space="preserve"> </w:t>
      </w:r>
      <w:r w:rsidR="00DF4F21">
        <w:rPr>
          <w:rFonts w:ascii="Times New Roman" w:hAnsi="Times New Roman" w:cs="Times New Roman"/>
          <w:sz w:val="24"/>
          <w:szCs w:val="24"/>
        </w:rPr>
        <w:t>1222 p.</w:t>
      </w:r>
    </w:p>
    <w:p w:rsidR="005E6FFC" w:rsidRPr="00DF4F21" w:rsidRDefault="00D65C87" w:rsidP="00A869D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SANTOS, J</w:t>
      </w:r>
      <w:r w:rsidR="00A869D9">
        <w:rPr>
          <w:rFonts w:ascii="Times New Roman" w:hAnsi="Times New Roman" w:cs="Times New Roman"/>
          <w:sz w:val="24"/>
          <w:szCs w:val="24"/>
        </w:rPr>
        <w:t>.</w:t>
      </w:r>
      <w:r>
        <w:rPr>
          <w:rFonts w:ascii="Times New Roman" w:hAnsi="Times New Roman" w:cs="Times New Roman"/>
          <w:sz w:val="24"/>
          <w:szCs w:val="24"/>
        </w:rPr>
        <w:t xml:space="preserve"> C. </w:t>
      </w:r>
      <w:r>
        <w:rPr>
          <w:rFonts w:ascii="Times New Roman" w:hAnsi="Times New Roman" w:cs="Times New Roman"/>
          <w:b/>
          <w:sz w:val="24"/>
          <w:szCs w:val="24"/>
        </w:rPr>
        <w:t xml:space="preserve">Direito Penal: Parte Geral. </w:t>
      </w:r>
      <w:r w:rsidR="00DF4F21" w:rsidRPr="00DF4F21">
        <w:rPr>
          <w:rFonts w:ascii="Times New Roman" w:hAnsi="Times New Roman" w:cs="Times New Roman"/>
          <w:sz w:val="24"/>
          <w:szCs w:val="24"/>
          <w:lang w:val="en-US"/>
        </w:rPr>
        <w:t xml:space="preserve">2 ed. </w:t>
      </w:r>
      <w:r w:rsidRPr="00DF4F21">
        <w:rPr>
          <w:rFonts w:ascii="Times New Roman" w:hAnsi="Times New Roman" w:cs="Times New Roman"/>
          <w:sz w:val="24"/>
          <w:szCs w:val="24"/>
          <w:lang w:val="en-US"/>
        </w:rPr>
        <w:t>Curitiba: Lumen Juris, 2007.</w:t>
      </w:r>
      <w:r w:rsidR="00A869D9" w:rsidRPr="00DF4F21">
        <w:rPr>
          <w:rFonts w:ascii="Times New Roman" w:hAnsi="Times New Roman" w:cs="Times New Roman"/>
          <w:sz w:val="24"/>
          <w:szCs w:val="24"/>
          <w:lang w:val="en-US"/>
        </w:rPr>
        <w:t xml:space="preserve"> </w:t>
      </w:r>
      <w:proofErr w:type="gramStart"/>
      <w:r w:rsidR="00DF4F21">
        <w:rPr>
          <w:rFonts w:ascii="Times New Roman" w:hAnsi="Times New Roman" w:cs="Times New Roman"/>
          <w:sz w:val="24"/>
          <w:szCs w:val="24"/>
          <w:lang w:val="en-US"/>
        </w:rPr>
        <w:t>737 p</w:t>
      </w:r>
      <w:r w:rsidR="00A869D9" w:rsidRPr="00DF4F21">
        <w:rPr>
          <w:rFonts w:ascii="Times New Roman" w:hAnsi="Times New Roman" w:cs="Times New Roman"/>
          <w:sz w:val="24"/>
          <w:szCs w:val="24"/>
          <w:lang w:val="en-US"/>
        </w:rPr>
        <w:t>.</w:t>
      </w:r>
      <w:proofErr w:type="gramEnd"/>
    </w:p>
    <w:sectPr w:rsidR="005E6FFC" w:rsidRPr="00DF4F21" w:rsidSect="003E1D6E">
      <w:pgSz w:w="11906" w:h="16838"/>
      <w:pgMar w:top="1134"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C2" w:rsidRDefault="00355EC2" w:rsidP="003E1D6E">
      <w:pPr>
        <w:spacing w:after="0" w:line="240" w:lineRule="auto"/>
      </w:pPr>
      <w:r>
        <w:separator/>
      </w:r>
    </w:p>
  </w:endnote>
  <w:endnote w:type="continuationSeparator" w:id="0">
    <w:p w:rsidR="00355EC2" w:rsidRDefault="00355EC2" w:rsidP="003E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C2" w:rsidRDefault="00355EC2" w:rsidP="003E1D6E">
      <w:pPr>
        <w:spacing w:after="0" w:line="240" w:lineRule="auto"/>
      </w:pPr>
      <w:r>
        <w:separator/>
      </w:r>
    </w:p>
  </w:footnote>
  <w:footnote w:type="continuationSeparator" w:id="0">
    <w:p w:rsidR="00355EC2" w:rsidRDefault="00355EC2" w:rsidP="003E1D6E">
      <w:pPr>
        <w:spacing w:after="0" w:line="240" w:lineRule="auto"/>
      </w:pPr>
      <w:r>
        <w:continuationSeparator/>
      </w:r>
    </w:p>
  </w:footnote>
  <w:footnote w:id="1">
    <w:p w:rsidR="00197E33" w:rsidRDefault="003E1D6E" w:rsidP="00197E33">
      <w:pPr>
        <w:pStyle w:val="Textodenotaderodap"/>
        <w:rPr>
          <w:lang w:val="en-US"/>
        </w:rPr>
      </w:pPr>
      <w:r>
        <w:rPr>
          <w:rStyle w:val="Refdenotaderodap"/>
        </w:rPr>
        <w:footnoteRef/>
      </w:r>
      <w:r>
        <w:t xml:space="preserve"> </w:t>
      </w:r>
      <w:r w:rsidR="00D708DA">
        <w:t xml:space="preserve">Mestre em ciências criminais pela UCAM e </w:t>
      </w:r>
      <w:r w:rsidR="00197E33">
        <w:t xml:space="preserve">Doutorando em Direitos Fundamentais na </w:t>
      </w:r>
      <w:r w:rsidR="00197E33">
        <w:t>Universidade Estácio de Sá</w:t>
      </w:r>
      <w:r w:rsidR="00197E33">
        <w:t>. P</w:t>
      </w:r>
      <w:r w:rsidR="00D708DA">
        <w:t xml:space="preserve">rofessor de direito penal e criminologia na </w:t>
      </w:r>
      <w:r w:rsidR="00197E33">
        <w:t xml:space="preserve">FESUDEPERJ e na </w:t>
      </w:r>
      <w:r w:rsidR="00D708DA">
        <w:t xml:space="preserve">graduação </w:t>
      </w:r>
      <w:r w:rsidR="00197E33">
        <w:t xml:space="preserve">da Faculdade </w:t>
      </w:r>
      <w:proofErr w:type="spellStart"/>
      <w:r w:rsidR="00197E33">
        <w:t>Signorelli</w:t>
      </w:r>
      <w:proofErr w:type="spellEnd"/>
      <w:r w:rsidR="00197E33">
        <w:t xml:space="preserve"> </w:t>
      </w:r>
      <w:r w:rsidR="00D708DA">
        <w:t xml:space="preserve">e </w:t>
      </w:r>
      <w:proofErr w:type="gramStart"/>
      <w:r w:rsidR="00D708DA">
        <w:t>pós graduação</w:t>
      </w:r>
      <w:proofErr w:type="gramEnd"/>
      <w:r w:rsidR="00D708DA">
        <w:t xml:space="preserve"> da</w:t>
      </w:r>
      <w:r w:rsidR="00197E33">
        <w:t xml:space="preserve"> UNISUAM</w:t>
      </w:r>
      <w:r w:rsidR="00D708DA">
        <w:t>.</w:t>
      </w:r>
      <w:r w:rsidR="00BC212E">
        <w:t xml:space="preserve"> </w:t>
      </w:r>
    </w:p>
    <w:p w:rsidR="00BC212E" w:rsidRDefault="00BC212E">
      <w:pPr>
        <w:pStyle w:val="Textodenotaderodap"/>
        <w:rPr>
          <w:lang w:val="en-US"/>
        </w:rPr>
      </w:pPr>
    </w:p>
    <w:p w:rsidR="00BC212E" w:rsidRDefault="00BC212E">
      <w:pPr>
        <w:pStyle w:val="Textodenotaderodap"/>
        <w:rPr>
          <w:lang w:val="en-US"/>
        </w:rPr>
      </w:pPr>
    </w:p>
    <w:p w:rsidR="00FB68DA" w:rsidRPr="00BC212E" w:rsidRDefault="00FB68DA">
      <w:pPr>
        <w:pStyle w:val="Textodenotaderodap"/>
        <w:rPr>
          <w:lang w:val="en-US"/>
        </w:rPr>
      </w:pPr>
    </w:p>
  </w:footnote>
  <w:footnote w:id="2">
    <w:p w:rsidR="005F420A" w:rsidRDefault="005F420A">
      <w:pPr>
        <w:pStyle w:val="Textodenotaderodap"/>
        <w:rPr>
          <w:lang w:val="en-US"/>
        </w:rPr>
      </w:pPr>
      <w:r>
        <w:rPr>
          <w:rStyle w:val="Refdenotaderodap"/>
        </w:rPr>
        <w:footnoteRef/>
      </w:r>
      <w:r>
        <w:rPr>
          <w:lang w:val="en-US"/>
        </w:rPr>
        <w:t xml:space="preserve"> </w:t>
      </w:r>
      <w:hyperlink r:id="rId1" w:anchor="gid=1785770439" w:history="1">
        <w:r w:rsidRPr="0056500C">
          <w:rPr>
            <w:rStyle w:val="Hyperlink"/>
            <w:lang w:val="en-US"/>
          </w:rPr>
          <w:t>https://docs.google.com/spreadsheets/d/1gPMT3K_uqkimVg6PeHqJKEv8tycUgRtaFuVYEFwzsYM/edit#gid=1785770439</w:t>
        </w:r>
      </w:hyperlink>
    </w:p>
    <w:p w:rsidR="005F420A" w:rsidRPr="005F420A" w:rsidRDefault="005F420A">
      <w:pPr>
        <w:pStyle w:val="Textodenotaderodap"/>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6E"/>
    <w:rsid w:val="00035F0D"/>
    <w:rsid w:val="00047533"/>
    <w:rsid w:val="0006621D"/>
    <w:rsid w:val="000959C2"/>
    <w:rsid w:val="000D21E3"/>
    <w:rsid w:val="000D79E3"/>
    <w:rsid w:val="000F0B71"/>
    <w:rsid w:val="00136F7E"/>
    <w:rsid w:val="00197E33"/>
    <w:rsid w:val="001A27D5"/>
    <w:rsid w:val="00205AB4"/>
    <w:rsid w:val="0022188B"/>
    <w:rsid w:val="002557B8"/>
    <w:rsid w:val="00262B39"/>
    <w:rsid w:val="002662D8"/>
    <w:rsid w:val="0028471A"/>
    <w:rsid w:val="002F2F4B"/>
    <w:rsid w:val="00312CC5"/>
    <w:rsid w:val="003508B6"/>
    <w:rsid w:val="00355EC2"/>
    <w:rsid w:val="00374569"/>
    <w:rsid w:val="003E1D6E"/>
    <w:rsid w:val="004216B0"/>
    <w:rsid w:val="00440DA0"/>
    <w:rsid w:val="004650F9"/>
    <w:rsid w:val="004B3DF7"/>
    <w:rsid w:val="0050092B"/>
    <w:rsid w:val="0059308F"/>
    <w:rsid w:val="005B7C7E"/>
    <w:rsid w:val="005E6FFC"/>
    <w:rsid w:val="005F420A"/>
    <w:rsid w:val="006C0940"/>
    <w:rsid w:val="006D080F"/>
    <w:rsid w:val="006F6C52"/>
    <w:rsid w:val="007544DB"/>
    <w:rsid w:val="00757337"/>
    <w:rsid w:val="007858DF"/>
    <w:rsid w:val="007C0B53"/>
    <w:rsid w:val="00810756"/>
    <w:rsid w:val="0085439E"/>
    <w:rsid w:val="008868E1"/>
    <w:rsid w:val="008A49D1"/>
    <w:rsid w:val="008B1D29"/>
    <w:rsid w:val="008C4CC1"/>
    <w:rsid w:val="008E4681"/>
    <w:rsid w:val="0090741C"/>
    <w:rsid w:val="009242E6"/>
    <w:rsid w:val="00941E6A"/>
    <w:rsid w:val="00995D6F"/>
    <w:rsid w:val="00A00B97"/>
    <w:rsid w:val="00A113EC"/>
    <w:rsid w:val="00A16F56"/>
    <w:rsid w:val="00A2743D"/>
    <w:rsid w:val="00A63C0D"/>
    <w:rsid w:val="00A77189"/>
    <w:rsid w:val="00A869D9"/>
    <w:rsid w:val="00AB47DC"/>
    <w:rsid w:val="00B46FC8"/>
    <w:rsid w:val="00B63F31"/>
    <w:rsid w:val="00B967C3"/>
    <w:rsid w:val="00BA1532"/>
    <w:rsid w:val="00BC212E"/>
    <w:rsid w:val="00BD3CE5"/>
    <w:rsid w:val="00BF5DF1"/>
    <w:rsid w:val="00C64FE4"/>
    <w:rsid w:val="00CA556B"/>
    <w:rsid w:val="00CB3A70"/>
    <w:rsid w:val="00D01EE1"/>
    <w:rsid w:val="00D25B36"/>
    <w:rsid w:val="00D51BDE"/>
    <w:rsid w:val="00D5536B"/>
    <w:rsid w:val="00D65C87"/>
    <w:rsid w:val="00D708DA"/>
    <w:rsid w:val="00D94044"/>
    <w:rsid w:val="00DC0B90"/>
    <w:rsid w:val="00DF4F21"/>
    <w:rsid w:val="00E10DD6"/>
    <w:rsid w:val="00E47049"/>
    <w:rsid w:val="00E51AB6"/>
    <w:rsid w:val="00E736A8"/>
    <w:rsid w:val="00E7642B"/>
    <w:rsid w:val="00E77E03"/>
    <w:rsid w:val="00EC4A14"/>
    <w:rsid w:val="00FA13EB"/>
    <w:rsid w:val="00FB68DA"/>
    <w:rsid w:val="00FC58C5"/>
    <w:rsid w:val="00FD2979"/>
    <w:rsid w:val="00FE4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E1D6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E1D6E"/>
    <w:rPr>
      <w:sz w:val="20"/>
      <w:szCs w:val="20"/>
    </w:rPr>
  </w:style>
  <w:style w:type="character" w:styleId="Refdenotaderodap">
    <w:name w:val="footnote reference"/>
    <w:basedOn w:val="Fontepargpadro"/>
    <w:uiPriority w:val="99"/>
    <w:semiHidden/>
    <w:unhideWhenUsed/>
    <w:rsid w:val="003E1D6E"/>
    <w:rPr>
      <w:vertAlign w:val="superscript"/>
    </w:rPr>
  </w:style>
  <w:style w:type="character" w:styleId="Hyperlink">
    <w:name w:val="Hyperlink"/>
    <w:basedOn w:val="Fontepargpadro"/>
    <w:uiPriority w:val="99"/>
    <w:unhideWhenUsed/>
    <w:rsid w:val="00BC212E"/>
    <w:rPr>
      <w:color w:val="0000FF" w:themeColor="hyperlink"/>
      <w:u w:val="single"/>
    </w:rPr>
  </w:style>
  <w:style w:type="character" w:customStyle="1" w:styleId="apple-converted-space">
    <w:name w:val="apple-converted-space"/>
    <w:basedOn w:val="Fontepargpadro"/>
    <w:rsid w:val="00C64FE4"/>
  </w:style>
  <w:style w:type="paragraph" w:styleId="Textodenotadefim">
    <w:name w:val="endnote text"/>
    <w:basedOn w:val="Normal"/>
    <w:link w:val="TextodenotadefimChar"/>
    <w:uiPriority w:val="99"/>
    <w:semiHidden/>
    <w:unhideWhenUsed/>
    <w:rsid w:val="005F420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F420A"/>
    <w:rPr>
      <w:sz w:val="20"/>
      <w:szCs w:val="20"/>
    </w:rPr>
  </w:style>
  <w:style w:type="character" w:styleId="Refdenotadefim">
    <w:name w:val="endnote reference"/>
    <w:basedOn w:val="Fontepargpadro"/>
    <w:uiPriority w:val="99"/>
    <w:semiHidden/>
    <w:unhideWhenUsed/>
    <w:rsid w:val="005F42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E1D6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E1D6E"/>
    <w:rPr>
      <w:sz w:val="20"/>
      <w:szCs w:val="20"/>
    </w:rPr>
  </w:style>
  <w:style w:type="character" w:styleId="Refdenotaderodap">
    <w:name w:val="footnote reference"/>
    <w:basedOn w:val="Fontepargpadro"/>
    <w:uiPriority w:val="99"/>
    <w:semiHidden/>
    <w:unhideWhenUsed/>
    <w:rsid w:val="003E1D6E"/>
    <w:rPr>
      <w:vertAlign w:val="superscript"/>
    </w:rPr>
  </w:style>
  <w:style w:type="character" w:styleId="Hyperlink">
    <w:name w:val="Hyperlink"/>
    <w:basedOn w:val="Fontepargpadro"/>
    <w:uiPriority w:val="99"/>
    <w:unhideWhenUsed/>
    <w:rsid w:val="00BC212E"/>
    <w:rPr>
      <w:color w:val="0000FF" w:themeColor="hyperlink"/>
      <w:u w:val="single"/>
    </w:rPr>
  </w:style>
  <w:style w:type="character" w:customStyle="1" w:styleId="apple-converted-space">
    <w:name w:val="apple-converted-space"/>
    <w:basedOn w:val="Fontepargpadro"/>
    <w:rsid w:val="00C64FE4"/>
  </w:style>
  <w:style w:type="paragraph" w:styleId="Textodenotadefim">
    <w:name w:val="endnote text"/>
    <w:basedOn w:val="Normal"/>
    <w:link w:val="TextodenotadefimChar"/>
    <w:uiPriority w:val="99"/>
    <w:semiHidden/>
    <w:unhideWhenUsed/>
    <w:rsid w:val="005F420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F420A"/>
    <w:rPr>
      <w:sz w:val="20"/>
      <w:szCs w:val="20"/>
    </w:rPr>
  </w:style>
  <w:style w:type="character" w:styleId="Refdenotadefim">
    <w:name w:val="endnote reference"/>
    <w:basedOn w:val="Fontepargpadro"/>
    <w:uiPriority w:val="99"/>
    <w:semiHidden/>
    <w:unhideWhenUsed/>
    <w:rsid w:val="005F4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spreadsheets/d/1gPMT3K_uqkimVg6PeHqJKEv8tycUgRtaFuVYEFwzsYM/edi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DD58-D032-4B84-BFBA-0731FD5C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1755</Words>
  <Characters>9478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31</cp:revision>
  <dcterms:created xsi:type="dcterms:W3CDTF">2016-11-08T18:01:00Z</dcterms:created>
  <dcterms:modified xsi:type="dcterms:W3CDTF">2018-12-06T16:21:00Z</dcterms:modified>
</cp:coreProperties>
</file>